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3B" w:rsidRPr="00340BD9" w:rsidRDefault="00531EF2" w:rsidP="00BC1C2D">
      <w:pPr>
        <w:tabs>
          <w:tab w:val="left" w:pos="1335"/>
        </w:tabs>
        <w:spacing w:line="276" w:lineRule="auto"/>
        <w:rPr>
          <w:rFonts w:ascii="Arial" w:hAnsi="Arial" w:cs="Arial"/>
          <w:b/>
          <w:sz w:val="28"/>
          <w:szCs w:val="28"/>
          <w:lang w:val="en-US"/>
        </w:rPr>
      </w:pPr>
      <w:r w:rsidRPr="00340BD9">
        <w:rPr>
          <w:rFonts w:ascii="Arial" w:hAnsi="Arial" w:cs="Arial"/>
          <w:b/>
          <w:sz w:val="28"/>
          <w:szCs w:val="28"/>
          <w:lang w:val="en-US"/>
        </w:rPr>
        <w:t>Post Show Report</w:t>
      </w:r>
      <w:r w:rsidR="008E7C05">
        <w:rPr>
          <w:rFonts w:ascii="Arial" w:hAnsi="Arial" w:cs="Arial"/>
          <w:b/>
          <w:sz w:val="28"/>
          <w:szCs w:val="28"/>
          <w:lang w:val="en-US"/>
        </w:rPr>
        <w:t xml:space="preserve"> 2012</w:t>
      </w:r>
    </w:p>
    <w:p w:rsidR="00842A3B" w:rsidRPr="00340BD9" w:rsidRDefault="00842A3B" w:rsidP="00BC1C2D">
      <w:pPr>
        <w:tabs>
          <w:tab w:val="left" w:pos="1335"/>
        </w:tabs>
        <w:spacing w:line="276" w:lineRule="auto"/>
        <w:rPr>
          <w:rFonts w:ascii="Arial" w:hAnsi="Arial" w:cs="Arial"/>
          <w:b/>
          <w:sz w:val="28"/>
          <w:szCs w:val="28"/>
          <w:lang w:val="en-US"/>
        </w:rPr>
      </w:pPr>
    </w:p>
    <w:p w:rsidR="002F51E3" w:rsidRDefault="00F071FD" w:rsidP="00F071FD">
      <w:pPr>
        <w:tabs>
          <w:tab w:val="left" w:pos="1335"/>
          <w:tab w:val="left" w:pos="5940"/>
        </w:tabs>
        <w:spacing w:line="276" w:lineRule="auto"/>
        <w:jc w:val="both"/>
        <w:rPr>
          <w:rFonts w:ascii="Arial" w:hAnsi="Arial" w:cs="Arial"/>
          <w:b/>
          <w:color w:val="000000"/>
          <w:lang w:val="en-US"/>
        </w:rPr>
      </w:pPr>
      <w:r w:rsidRPr="00F071FD">
        <w:rPr>
          <w:rFonts w:ascii="Arial" w:hAnsi="Arial" w:cs="Arial"/>
          <w:b/>
          <w:color w:val="000000"/>
          <w:lang w:val="en-US"/>
        </w:rPr>
        <w:t>"Towards a win-win partnership"</w:t>
      </w:r>
      <w:r>
        <w:rPr>
          <w:rFonts w:ascii="Arial" w:hAnsi="Arial" w:cs="Arial"/>
          <w:b/>
          <w:color w:val="000000"/>
          <w:lang w:val="en-US"/>
        </w:rPr>
        <w:t xml:space="preserve"> - </w:t>
      </w:r>
      <w:r w:rsidRPr="00F071FD">
        <w:rPr>
          <w:rFonts w:ascii="Arial" w:hAnsi="Arial" w:cs="Arial"/>
          <w:b/>
          <w:color w:val="000000"/>
          <w:lang w:val="en-US"/>
        </w:rPr>
        <w:t>The Ministry of Energy and Mines strongly supports electro, automation &amp; energy</w:t>
      </w:r>
      <w:r>
        <w:rPr>
          <w:rFonts w:ascii="Arial" w:hAnsi="Arial" w:cs="Arial"/>
          <w:b/>
          <w:color w:val="000000"/>
          <w:lang w:val="en-US"/>
        </w:rPr>
        <w:t xml:space="preserve"> </w:t>
      </w:r>
    </w:p>
    <w:p w:rsidR="002F51E3" w:rsidRPr="00340BD9" w:rsidRDefault="002F51E3" w:rsidP="00BC1C2D">
      <w:pPr>
        <w:tabs>
          <w:tab w:val="left" w:pos="1335"/>
          <w:tab w:val="left" w:pos="5940"/>
        </w:tabs>
        <w:spacing w:line="276" w:lineRule="auto"/>
        <w:jc w:val="both"/>
        <w:rPr>
          <w:rFonts w:ascii="Arial" w:hAnsi="Arial" w:cs="Arial"/>
          <w:b/>
          <w:color w:val="000000"/>
          <w:lang w:val="en-US"/>
        </w:rPr>
      </w:pPr>
    </w:p>
    <w:p w:rsidR="00EE046B" w:rsidRPr="00340BD9" w:rsidRDefault="00EE046B" w:rsidP="00BC1C2D">
      <w:pPr>
        <w:tabs>
          <w:tab w:val="left" w:pos="1335"/>
          <w:tab w:val="left" w:pos="5940"/>
        </w:tabs>
        <w:spacing w:line="276" w:lineRule="auto"/>
        <w:jc w:val="both"/>
        <w:rPr>
          <w:rFonts w:ascii="Arial" w:hAnsi="Arial" w:cs="Arial"/>
          <w:color w:val="000000"/>
          <w:sz w:val="18"/>
          <w:szCs w:val="18"/>
          <w:lang w:val="en-US"/>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812"/>
        <w:gridCol w:w="3969"/>
      </w:tblGrid>
      <w:tr w:rsidR="009512E0" w:rsidRPr="00340BD9" w:rsidTr="005E2C06">
        <w:trPr>
          <w:trHeight w:val="2483"/>
        </w:trPr>
        <w:tc>
          <w:tcPr>
            <w:tcW w:w="4541" w:type="dxa"/>
          </w:tcPr>
          <w:p w:rsidR="001A2B26" w:rsidRDefault="001A2B26" w:rsidP="00BC1C2D">
            <w:pPr>
              <w:tabs>
                <w:tab w:val="left" w:pos="1335"/>
                <w:tab w:val="left" w:pos="5940"/>
              </w:tabs>
              <w:spacing w:line="276" w:lineRule="auto"/>
              <w:jc w:val="both"/>
              <w:rPr>
                <w:rFonts w:ascii="Arial" w:hAnsi="Arial" w:cs="Arial"/>
                <w:color w:val="000000"/>
                <w:sz w:val="20"/>
                <w:szCs w:val="20"/>
                <w:lang w:val="en-US"/>
              </w:rPr>
            </w:pPr>
            <w:r w:rsidRPr="001A2B26">
              <w:rPr>
                <w:rFonts w:ascii="Arial" w:hAnsi="Arial" w:cs="Arial"/>
                <w:color w:val="000000"/>
                <w:sz w:val="20"/>
                <w:szCs w:val="20"/>
                <w:lang w:val="en-US"/>
              </w:rPr>
              <w:t xml:space="preserve">“Within 20 years our target is to produce 40% of our electricity through solar and wind. To reach this, Algeria needs partners with technological know-how in these fields, and partners who are ready to transfer their know-how. Like this the question of partnership becomes inevitable”, underlines the director of renewable energies and the control of energy at the Ministry of Energy and Mines, </w:t>
            </w:r>
            <w:proofErr w:type="spellStart"/>
            <w:r w:rsidRPr="001A2B26">
              <w:rPr>
                <w:rFonts w:ascii="Arial" w:hAnsi="Arial" w:cs="Arial"/>
                <w:color w:val="000000"/>
                <w:sz w:val="20"/>
                <w:szCs w:val="20"/>
                <w:lang w:val="en-US"/>
              </w:rPr>
              <w:t>Mr</w:t>
            </w:r>
            <w:proofErr w:type="spellEnd"/>
            <w:r w:rsidRPr="001A2B26">
              <w:rPr>
                <w:rFonts w:ascii="Arial" w:hAnsi="Arial" w:cs="Arial"/>
                <w:color w:val="000000"/>
                <w:sz w:val="20"/>
                <w:szCs w:val="20"/>
                <w:lang w:val="en-US"/>
              </w:rPr>
              <w:t xml:space="preserve"> </w:t>
            </w:r>
            <w:proofErr w:type="spellStart"/>
            <w:r w:rsidRPr="001A2B26">
              <w:rPr>
                <w:rFonts w:ascii="Arial" w:hAnsi="Arial" w:cs="Arial"/>
                <w:color w:val="000000"/>
                <w:sz w:val="20"/>
                <w:szCs w:val="20"/>
                <w:lang w:val="en-US"/>
              </w:rPr>
              <w:t>Lakhdar</w:t>
            </w:r>
            <w:proofErr w:type="spellEnd"/>
            <w:r w:rsidRPr="001A2B26">
              <w:rPr>
                <w:rFonts w:ascii="Arial" w:hAnsi="Arial" w:cs="Arial"/>
                <w:color w:val="000000"/>
                <w:sz w:val="20"/>
                <w:szCs w:val="20"/>
                <w:lang w:val="en-US"/>
              </w:rPr>
              <w:t xml:space="preserve"> </w:t>
            </w:r>
            <w:proofErr w:type="spellStart"/>
            <w:r w:rsidRPr="001A2B26">
              <w:rPr>
                <w:rFonts w:ascii="Arial" w:hAnsi="Arial" w:cs="Arial"/>
                <w:color w:val="000000"/>
                <w:sz w:val="20"/>
                <w:szCs w:val="20"/>
                <w:lang w:val="en-US"/>
              </w:rPr>
              <w:t>Benmazouz</w:t>
            </w:r>
            <w:proofErr w:type="spellEnd"/>
            <w:r w:rsidRPr="001A2B26">
              <w:rPr>
                <w:rFonts w:ascii="Arial" w:hAnsi="Arial" w:cs="Arial"/>
                <w:color w:val="000000"/>
                <w:sz w:val="20"/>
                <w:szCs w:val="20"/>
                <w:lang w:val="en-US"/>
              </w:rPr>
              <w:t>, in his opening speech of electro, automation &amp; energy 2012 on May 05, 2012.</w:t>
            </w:r>
          </w:p>
          <w:p w:rsidR="001A2B26" w:rsidRDefault="001A2B26" w:rsidP="00BC1C2D">
            <w:pPr>
              <w:tabs>
                <w:tab w:val="left" w:pos="1335"/>
                <w:tab w:val="left" w:pos="5940"/>
              </w:tabs>
              <w:spacing w:line="276" w:lineRule="auto"/>
              <w:jc w:val="both"/>
              <w:rPr>
                <w:rFonts w:ascii="Arial" w:hAnsi="Arial" w:cs="Arial"/>
                <w:color w:val="000000"/>
                <w:sz w:val="20"/>
                <w:szCs w:val="20"/>
                <w:lang w:val="en-US"/>
              </w:rPr>
            </w:pPr>
          </w:p>
          <w:p w:rsidR="001A2B26" w:rsidRPr="002F51E3" w:rsidRDefault="002F51E3" w:rsidP="001A2B26">
            <w:pPr>
              <w:tabs>
                <w:tab w:val="left" w:pos="1335"/>
                <w:tab w:val="left" w:pos="5940"/>
              </w:tabs>
              <w:spacing w:line="276" w:lineRule="auto"/>
              <w:jc w:val="both"/>
              <w:rPr>
                <w:rFonts w:ascii="Arial" w:hAnsi="Arial" w:cs="Arial"/>
                <w:color w:val="000000"/>
                <w:sz w:val="20"/>
                <w:szCs w:val="20"/>
                <w:lang w:val="en-US"/>
              </w:rPr>
            </w:pPr>
            <w:r w:rsidRPr="002F51E3">
              <w:rPr>
                <w:rFonts w:ascii="Arial" w:hAnsi="Arial" w:cs="Arial"/>
                <w:color w:val="000000"/>
                <w:sz w:val="20"/>
                <w:szCs w:val="20"/>
                <w:lang w:val="en-US"/>
              </w:rPr>
              <w:t>After four days of intense work and promising meetings, Kahina Behloul, manager fairtrade Al</w:t>
            </w:r>
            <w:r w:rsidR="00737D15">
              <w:rPr>
                <w:rFonts w:ascii="Arial" w:hAnsi="Arial" w:cs="Arial"/>
                <w:color w:val="000000"/>
                <w:sz w:val="20"/>
                <w:szCs w:val="20"/>
                <w:lang w:val="en-US"/>
              </w:rPr>
              <w:t>geria, sums up: “With 1,9</w:t>
            </w:r>
            <w:r w:rsidR="0045117F">
              <w:rPr>
                <w:rFonts w:ascii="Arial" w:hAnsi="Arial" w:cs="Arial"/>
                <w:color w:val="000000"/>
                <w:sz w:val="20"/>
                <w:szCs w:val="20"/>
                <w:lang w:val="en-US"/>
              </w:rPr>
              <w:t>4</w:t>
            </w:r>
            <w:r w:rsidRPr="002F51E3">
              <w:rPr>
                <w:rFonts w:ascii="Arial" w:hAnsi="Arial" w:cs="Arial"/>
                <w:color w:val="000000"/>
                <w:sz w:val="20"/>
                <w:szCs w:val="20"/>
                <w:lang w:val="en-US"/>
              </w:rPr>
              <w:t xml:space="preserve">8 registered visitors from 18 countries discussing business with numerous exhibitors from 12 countries, electro, automation &amp; energy has confirmed its status of the most important event in Algeria on renewable energies and on energy efficiency.” </w:t>
            </w:r>
          </w:p>
          <w:p w:rsidR="002F51E3" w:rsidRDefault="002F51E3" w:rsidP="00BC1C2D">
            <w:pPr>
              <w:tabs>
                <w:tab w:val="left" w:pos="1335"/>
                <w:tab w:val="left" w:pos="5940"/>
              </w:tabs>
              <w:spacing w:line="276" w:lineRule="auto"/>
              <w:jc w:val="both"/>
              <w:rPr>
                <w:rFonts w:ascii="Arial" w:hAnsi="Arial" w:cs="Arial"/>
                <w:color w:val="000000"/>
                <w:sz w:val="20"/>
                <w:szCs w:val="20"/>
                <w:lang w:val="en-US"/>
              </w:rPr>
            </w:pPr>
            <w:r w:rsidRPr="002F51E3">
              <w:rPr>
                <w:rFonts w:ascii="Arial" w:hAnsi="Arial" w:cs="Arial"/>
                <w:color w:val="000000"/>
                <w:sz w:val="20"/>
                <w:szCs w:val="20"/>
                <w:lang w:val="en-US"/>
              </w:rPr>
              <w:t>The exhibitors came from Algeria, Austria, China, France, Germany, India, Korea, Morocco, Russia, Spain, Tunisia and Turkey.</w:t>
            </w:r>
          </w:p>
          <w:p w:rsidR="001A2B26" w:rsidRDefault="001A2B26" w:rsidP="00BC1C2D">
            <w:pPr>
              <w:tabs>
                <w:tab w:val="left" w:pos="1335"/>
                <w:tab w:val="left" w:pos="5940"/>
              </w:tabs>
              <w:spacing w:line="276" w:lineRule="auto"/>
              <w:jc w:val="both"/>
              <w:rPr>
                <w:rFonts w:ascii="Arial" w:hAnsi="Arial" w:cs="Arial"/>
                <w:color w:val="000000"/>
                <w:sz w:val="20"/>
                <w:szCs w:val="20"/>
                <w:lang w:val="en-US"/>
              </w:rPr>
            </w:pPr>
          </w:p>
          <w:p w:rsidR="002F51E3" w:rsidRPr="00340BD9" w:rsidRDefault="001A2B26" w:rsidP="001B5905">
            <w:pPr>
              <w:tabs>
                <w:tab w:val="left" w:pos="1335"/>
                <w:tab w:val="left" w:pos="5940"/>
              </w:tabs>
              <w:spacing w:line="276" w:lineRule="auto"/>
              <w:jc w:val="both"/>
              <w:rPr>
                <w:rFonts w:ascii="Arial" w:hAnsi="Arial" w:cs="Arial"/>
                <w:color w:val="000000"/>
                <w:sz w:val="18"/>
                <w:szCs w:val="18"/>
                <w:lang w:val="en-US"/>
              </w:rPr>
            </w:pPr>
            <w:r w:rsidRPr="001A2B26">
              <w:rPr>
                <w:rFonts w:ascii="Arial" w:hAnsi="Arial" w:cs="Arial"/>
                <w:color w:val="000000"/>
                <w:sz w:val="20"/>
                <w:szCs w:val="20"/>
                <w:lang w:val="en-US"/>
              </w:rPr>
              <w:t>A valuable program of conferences on renewables and on energy efficiency ran alongside the exhibition. The Algerian Ministry of Energy and Mines had strongly supported the event. This support also made possible the participation of Sonelgaz, CDER, CEEG, CREDEG, NEAL-New Energy Algeria and APRUE-The Algerian National Agency for the Promotion and Rationalisation of the Use of Energy as exhibitors, as well as their active participation at the conferences alongside electro, automation &amp; energy 2012.</w:t>
            </w:r>
          </w:p>
        </w:tc>
        <w:tc>
          <w:tcPr>
            <w:tcW w:w="812" w:type="dxa"/>
          </w:tcPr>
          <w:p w:rsidR="00842A3B" w:rsidRPr="00340BD9" w:rsidRDefault="00842A3B" w:rsidP="00BC1C2D">
            <w:pPr>
              <w:tabs>
                <w:tab w:val="left" w:pos="1335"/>
                <w:tab w:val="left" w:pos="5940"/>
              </w:tabs>
              <w:spacing w:line="276" w:lineRule="auto"/>
              <w:jc w:val="both"/>
              <w:rPr>
                <w:rFonts w:ascii="Arial" w:hAnsi="Arial" w:cs="Arial"/>
                <w:color w:val="000000"/>
                <w:sz w:val="18"/>
                <w:szCs w:val="18"/>
                <w:lang w:val="en-US"/>
              </w:rPr>
            </w:pPr>
          </w:p>
        </w:tc>
        <w:tc>
          <w:tcPr>
            <w:tcW w:w="3969" w:type="dxa"/>
          </w:tcPr>
          <w:p w:rsidR="003924E6" w:rsidRDefault="003924E6" w:rsidP="00BC1C2D">
            <w:pPr>
              <w:tabs>
                <w:tab w:val="left" w:pos="1335"/>
                <w:tab w:val="left" w:pos="5940"/>
              </w:tabs>
              <w:spacing w:line="276" w:lineRule="auto"/>
              <w:jc w:val="center"/>
              <w:rPr>
                <w:rFonts w:ascii="Arial" w:hAnsi="Arial" w:cs="Arial"/>
                <w:color w:val="000000"/>
                <w:sz w:val="18"/>
                <w:szCs w:val="18"/>
                <w:lang w:val="en-US"/>
              </w:rPr>
            </w:pPr>
          </w:p>
          <w:p w:rsidR="00842A3B" w:rsidRPr="00340BD9" w:rsidRDefault="00315BD4" w:rsidP="00BC1C2D">
            <w:pPr>
              <w:tabs>
                <w:tab w:val="left" w:pos="1335"/>
                <w:tab w:val="left" w:pos="5940"/>
              </w:tabs>
              <w:spacing w:line="276" w:lineRule="auto"/>
              <w:jc w:val="center"/>
              <w:rPr>
                <w:rFonts w:ascii="Arial" w:hAnsi="Arial" w:cs="Arial"/>
                <w:color w:val="000000"/>
                <w:sz w:val="18"/>
                <w:szCs w:val="18"/>
                <w:lang w:val="en-US"/>
              </w:rPr>
            </w:pPr>
            <w:r w:rsidRPr="00340BD9">
              <w:rPr>
                <w:noProof/>
                <w:lang w:val="en-GB" w:eastAsia="en-GB"/>
              </w:rPr>
              <w:drawing>
                <wp:inline distT="0" distB="0" distL="0" distR="0" wp14:anchorId="68CC75B1" wp14:editId="06CBF8AC">
                  <wp:extent cx="2316633" cy="1542910"/>
                  <wp:effectExtent l="0" t="0" r="7620" b="63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633" cy="1542910"/>
                          </a:xfrm>
                          <a:prstGeom prst="rect">
                            <a:avLst/>
                          </a:prstGeom>
                        </pic:spPr>
                      </pic:pic>
                    </a:graphicData>
                  </a:graphic>
                </wp:inline>
              </w:drawing>
            </w:r>
          </w:p>
          <w:p w:rsidR="00C95D2B" w:rsidRDefault="00C95D2B" w:rsidP="00BC1C2D">
            <w:pPr>
              <w:tabs>
                <w:tab w:val="left" w:pos="1335"/>
                <w:tab w:val="left" w:pos="5940"/>
              </w:tabs>
              <w:spacing w:line="276" w:lineRule="auto"/>
              <w:rPr>
                <w:rFonts w:ascii="Arial" w:hAnsi="Arial" w:cs="Arial"/>
                <w:sz w:val="18"/>
                <w:szCs w:val="18"/>
                <w:lang w:val="en-US"/>
              </w:rPr>
            </w:pPr>
          </w:p>
          <w:p w:rsidR="001B5905" w:rsidRDefault="001B5905" w:rsidP="00BC1C2D">
            <w:pPr>
              <w:tabs>
                <w:tab w:val="left" w:pos="1335"/>
                <w:tab w:val="left" w:pos="5940"/>
              </w:tabs>
              <w:spacing w:line="276" w:lineRule="auto"/>
              <w:rPr>
                <w:rFonts w:ascii="Arial" w:hAnsi="Arial" w:cs="Arial"/>
                <w:sz w:val="18"/>
                <w:szCs w:val="18"/>
                <w:lang w:val="en-US"/>
              </w:rPr>
            </w:pPr>
          </w:p>
          <w:p w:rsidR="001B5905" w:rsidRPr="00340BD9" w:rsidRDefault="001B5905" w:rsidP="00BC1C2D">
            <w:pPr>
              <w:tabs>
                <w:tab w:val="left" w:pos="1335"/>
                <w:tab w:val="left" w:pos="5940"/>
              </w:tabs>
              <w:spacing w:line="276" w:lineRule="auto"/>
              <w:rPr>
                <w:rFonts w:ascii="Arial" w:hAnsi="Arial" w:cs="Arial"/>
                <w:sz w:val="18"/>
                <w:szCs w:val="18"/>
                <w:lang w:val="en-US"/>
              </w:rPr>
            </w:pPr>
          </w:p>
          <w:p w:rsidR="00C95D2B" w:rsidRDefault="003924E6" w:rsidP="00BC1C2D">
            <w:pPr>
              <w:tabs>
                <w:tab w:val="left" w:pos="1335"/>
                <w:tab w:val="left" w:pos="5940"/>
              </w:tabs>
              <w:spacing w:line="276" w:lineRule="auto"/>
              <w:rPr>
                <w:rFonts w:ascii="Arial" w:hAnsi="Arial" w:cs="Arial"/>
                <w:sz w:val="18"/>
                <w:szCs w:val="18"/>
                <w:lang w:val="en-US"/>
              </w:rPr>
            </w:pPr>
            <w:r w:rsidRPr="00340BD9">
              <w:rPr>
                <w:noProof/>
                <w:lang w:val="en-GB" w:eastAsia="en-GB"/>
              </w:rPr>
              <w:drawing>
                <wp:inline distT="0" distB="0" distL="0" distR="0" wp14:anchorId="1719217A" wp14:editId="3A260E00">
                  <wp:extent cx="2368061" cy="1575740"/>
                  <wp:effectExtent l="0" t="0" r="0" b="571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011\ElecEner 2011\Media\Fotos\fotographe individuel mme ouar_22112011\DSC_018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68061" cy="1575740"/>
                          </a:xfrm>
                          <a:prstGeom prst="rect">
                            <a:avLst/>
                          </a:prstGeom>
                          <a:noFill/>
                          <a:ln>
                            <a:noFill/>
                          </a:ln>
                        </pic:spPr>
                      </pic:pic>
                    </a:graphicData>
                  </a:graphic>
                </wp:inline>
              </w:drawing>
            </w:r>
          </w:p>
          <w:p w:rsidR="001B5905" w:rsidRDefault="001B5905" w:rsidP="00BC1C2D">
            <w:pPr>
              <w:tabs>
                <w:tab w:val="left" w:pos="1335"/>
                <w:tab w:val="left" w:pos="5940"/>
              </w:tabs>
              <w:spacing w:line="276" w:lineRule="auto"/>
              <w:rPr>
                <w:rFonts w:ascii="Arial" w:hAnsi="Arial" w:cs="Arial"/>
                <w:sz w:val="18"/>
                <w:szCs w:val="18"/>
                <w:lang w:val="en-US"/>
              </w:rPr>
            </w:pPr>
          </w:p>
          <w:p w:rsidR="001B5905" w:rsidRDefault="001B5905" w:rsidP="00BC1C2D">
            <w:pPr>
              <w:tabs>
                <w:tab w:val="left" w:pos="1335"/>
                <w:tab w:val="left" w:pos="5940"/>
              </w:tabs>
              <w:spacing w:line="276" w:lineRule="auto"/>
              <w:rPr>
                <w:rFonts w:ascii="Arial" w:hAnsi="Arial" w:cs="Arial"/>
                <w:sz w:val="18"/>
                <w:szCs w:val="18"/>
                <w:lang w:val="en-US"/>
              </w:rPr>
            </w:pPr>
          </w:p>
          <w:p w:rsidR="001B5905" w:rsidRPr="00340BD9" w:rsidRDefault="001B5905" w:rsidP="00BC1C2D">
            <w:pPr>
              <w:tabs>
                <w:tab w:val="left" w:pos="1335"/>
                <w:tab w:val="left" w:pos="5940"/>
              </w:tabs>
              <w:spacing w:line="276" w:lineRule="auto"/>
              <w:rPr>
                <w:rFonts w:ascii="Arial" w:hAnsi="Arial" w:cs="Arial"/>
                <w:sz w:val="18"/>
                <w:szCs w:val="18"/>
                <w:lang w:val="en-US"/>
              </w:rPr>
            </w:pPr>
          </w:p>
          <w:p w:rsidR="00F50026" w:rsidRPr="00340BD9" w:rsidRDefault="003924E6" w:rsidP="00BC1C2D">
            <w:pPr>
              <w:tabs>
                <w:tab w:val="left" w:pos="1335"/>
                <w:tab w:val="left" w:pos="5940"/>
              </w:tabs>
              <w:spacing w:line="276" w:lineRule="auto"/>
              <w:ind w:left="-479" w:firstLine="479"/>
              <w:jc w:val="center"/>
              <w:rPr>
                <w:lang w:val="en-US"/>
              </w:rPr>
            </w:pPr>
            <w:r>
              <w:rPr>
                <w:noProof/>
                <w:lang w:val="en-GB" w:eastAsia="en-GB"/>
              </w:rPr>
              <w:drawing>
                <wp:inline distT="0" distB="0" distL="0" distR="0" wp14:anchorId="24435F40" wp14:editId="47A9D19F">
                  <wp:extent cx="2383155" cy="15875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2012_DSC63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3155" cy="1587500"/>
                          </a:xfrm>
                          <a:prstGeom prst="rect">
                            <a:avLst/>
                          </a:prstGeom>
                        </pic:spPr>
                      </pic:pic>
                    </a:graphicData>
                  </a:graphic>
                </wp:inline>
              </w:drawing>
            </w:r>
          </w:p>
          <w:p w:rsidR="00B86DC8" w:rsidRPr="00340BD9" w:rsidRDefault="00B86DC8" w:rsidP="00BC1C2D">
            <w:pPr>
              <w:tabs>
                <w:tab w:val="left" w:pos="459"/>
                <w:tab w:val="left" w:pos="5940"/>
              </w:tabs>
              <w:spacing w:line="276" w:lineRule="auto"/>
              <w:ind w:right="-453"/>
              <w:rPr>
                <w:rFonts w:ascii="Arial" w:hAnsi="Arial" w:cs="Arial"/>
                <w:sz w:val="18"/>
                <w:szCs w:val="18"/>
                <w:lang w:val="en-US"/>
              </w:rPr>
            </w:pPr>
          </w:p>
        </w:tc>
      </w:tr>
    </w:tbl>
    <w:p w:rsidR="000C1F2B" w:rsidRDefault="000C1F2B" w:rsidP="00BC1C2D">
      <w:pPr>
        <w:tabs>
          <w:tab w:val="left" w:pos="1335"/>
          <w:tab w:val="left" w:pos="5940"/>
        </w:tabs>
        <w:spacing w:line="276" w:lineRule="auto"/>
        <w:jc w:val="both"/>
        <w:rPr>
          <w:rFonts w:ascii="Arial" w:hAnsi="Arial" w:cs="Arial"/>
          <w:b/>
          <w:color w:val="000000"/>
          <w:lang w:val="en-US"/>
        </w:rPr>
      </w:pPr>
    </w:p>
    <w:p w:rsidR="000C1F2B" w:rsidRDefault="000C1F2B">
      <w:pPr>
        <w:spacing w:after="200" w:line="276" w:lineRule="auto"/>
        <w:rPr>
          <w:rFonts w:ascii="Arial" w:hAnsi="Arial" w:cs="Arial"/>
          <w:b/>
          <w:color w:val="000000"/>
          <w:lang w:val="en-US"/>
        </w:rPr>
      </w:pPr>
      <w:r>
        <w:rPr>
          <w:rFonts w:ascii="Arial" w:hAnsi="Arial" w:cs="Arial"/>
          <w:b/>
          <w:color w:val="000000"/>
          <w:lang w:val="en-US"/>
        </w:rPr>
        <w:br w:type="page"/>
      </w:r>
    </w:p>
    <w:p w:rsidR="008F12A3" w:rsidRPr="00340BD9" w:rsidRDefault="00386A92" w:rsidP="00BC1C2D">
      <w:pPr>
        <w:tabs>
          <w:tab w:val="left" w:pos="1335"/>
          <w:tab w:val="left" w:pos="5940"/>
        </w:tabs>
        <w:spacing w:line="276" w:lineRule="auto"/>
        <w:jc w:val="both"/>
        <w:rPr>
          <w:rFonts w:ascii="Arial" w:hAnsi="Arial" w:cs="Arial"/>
          <w:b/>
          <w:color w:val="000000"/>
          <w:lang w:val="en-US"/>
        </w:rPr>
      </w:pPr>
      <w:r w:rsidRPr="00340BD9">
        <w:rPr>
          <w:rFonts w:ascii="Arial" w:hAnsi="Arial" w:cs="Arial"/>
          <w:b/>
          <w:color w:val="000000"/>
          <w:lang w:val="en-US"/>
        </w:rPr>
        <w:lastRenderedPageBreak/>
        <w:t>Rea</w:t>
      </w:r>
      <w:r w:rsidR="008F12A3" w:rsidRPr="00340BD9">
        <w:rPr>
          <w:rFonts w:ascii="Arial" w:hAnsi="Arial" w:cs="Arial"/>
          <w:b/>
          <w:color w:val="000000"/>
          <w:lang w:val="en-US"/>
        </w:rPr>
        <w:t>d what they said:</w:t>
      </w:r>
    </w:p>
    <w:p w:rsidR="008F12A3" w:rsidRPr="00340BD9" w:rsidRDefault="008F12A3" w:rsidP="00BC1C2D">
      <w:pPr>
        <w:tabs>
          <w:tab w:val="left" w:pos="1335"/>
          <w:tab w:val="left" w:pos="5940"/>
        </w:tabs>
        <w:spacing w:line="276" w:lineRule="auto"/>
        <w:jc w:val="both"/>
        <w:rPr>
          <w:rFonts w:ascii="Arial" w:hAnsi="Arial" w:cs="Arial"/>
          <w:b/>
          <w:color w:val="000000"/>
          <w:lang w:val="en-US"/>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938"/>
      </w:tblGrid>
      <w:tr w:rsidR="00E679E6" w:rsidRPr="002A446D" w:rsidTr="00267149">
        <w:trPr>
          <w:trHeight w:val="1117"/>
        </w:trPr>
        <w:tc>
          <w:tcPr>
            <w:tcW w:w="1242" w:type="dxa"/>
          </w:tcPr>
          <w:p w:rsidR="00E679E6" w:rsidRPr="00340BD9" w:rsidRDefault="000C283F" w:rsidP="00BC1C2D">
            <w:pPr>
              <w:tabs>
                <w:tab w:val="left" w:pos="1335"/>
                <w:tab w:val="left" w:pos="5940"/>
              </w:tabs>
              <w:spacing w:line="276" w:lineRule="auto"/>
              <w:ind w:right="2689"/>
              <w:jc w:val="both"/>
              <w:rPr>
                <w:rFonts w:ascii="Arial" w:hAnsi="Arial" w:cs="Arial"/>
                <w:b/>
                <w:color w:val="000000"/>
                <w:lang w:val="en-US"/>
              </w:rPr>
            </w:pPr>
            <w:r>
              <w:rPr>
                <w:rFonts w:ascii="Arial" w:hAnsi="Arial" w:cs="Arial"/>
                <w:b/>
                <w:noProof/>
                <w:color w:val="000000"/>
                <w:lang w:val="en-GB" w:eastAsia="en-GB"/>
              </w:rPr>
              <w:drawing>
                <wp:inline distT="0" distB="0" distL="0" distR="0">
                  <wp:extent cx="652145" cy="85852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45" cy="858520"/>
                          </a:xfrm>
                          <a:prstGeom prst="rect">
                            <a:avLst/>
                          </a:prstGeom>
                          <a:noFill/>
                          <a:ln>
                            <a:noFill/>
                          </a:ln>
                        </pic:spPr>
                      </pic:pic>
                    </a:graphicData>
                  </a:graphic>
                </wp:inline>
              </w:drawing>
            </w:r>
          </w:p>
        </w:tc>
        <w:tc>
          <w:tcPr>
            <w:tcW w:w="7938" w:type="dxa"/>
          </w:tcPr>
          <w:p w:rsidR="00E679E6" w:rsidRPr="0045117F" w:rsidRDefault="000C283F" w:rsidP="000C283F">
            <w:pPr>
              <w:tabs>
                <w:tab w:val="left" w:pos="1335"/>
                <w:tab w:val="left" w:pos="5940"/>
              </w:tabs>
              <w:spacing w:line="276" w:lineRule="auto"/>
              <w:rPr>
                <w:rFonts w:ascii="Arial" w:hAnsi="Arial" w:cs="Arial"/>
                <w:color w:val="000000"/>
                <w:sz w:val="20"/>
                <w:szCs w:val="20"/>
                <w:lang w:val="en-GB"/>
              </w:rPr>
            </w:pPr>
            <w:proofErr w:type="spellStart"/>
            <w:r w:rsidRPr="0045117F">
              <w:rPr>
                <w:rFonts w:ascii="Arial" w:hAnsi="Arial" w:cs="Arial"/>
                <w:b/>
                <w:color w:val="000000"/>
                <w:sz w:val="20"/>
                <w:szCs w:val="20"/>
                <w:lang w:val="en-GB"/>
              </w:rPr>
              <w:t>Lakhdar</w:t>
            </w:r>
            <w:proofErr w:type="spellEnd"/>
            <w:r w:rsidRPr="0045117F">
              <w:rPr>
                <w:rFonts w:ascii="Arial" w:hAnsi="Arial" w:cs="Arial"/>
                <w:b/>
                <w:color w:val="000000"/>
                <w:sz w:val="20"/>
                <w:szCs w:val="20"/>
                <w:lang w:val="en-GB"/>
              </w:rPr>
              <w:t xml:space="preserve"> </w:t>
            </w:r>
            <w:proofErr w:type="spellStart"/>
            <w:r w:rsidRPr="0045117F">
              <w:rPr>
                <w:rFonts w:ascii="Arial" w:hAnsi="Arial" w:cs="Arial"/>
                <w:b/>
                <w:color w:val="000000"/>
                <w:sz w:val="20"/>
                <w:szCs w:val="20"/>
                <w:lang w:val="en-GB"/>
              </w:rPr>
              <w:t>Benmazouz</w:t>
            </w:r>
            <w:proofErr w:type="spellEnd"/>
            <w:r w:rsidRPr="0045117F">
              <w:rPr>
                <w:rFonts w:ascii="Arial" w:hAnsi="Arial" w:cs="Arial"/>
                <w:b/>
                <w:color w:val="000000"/>
                <w:sz w:val="20"/>
                <w:szCs w:val="20"/>
                <w:lang w:val="en-GB"/>
              </w:rPr>
              <w:t xml:space="preserve">, </w:t>
            </w:r>
            <w:r w:rsidR="0045117F">
              <w:rPr>
                <w:rFonts w:ascii="Arial" w:hAnsi="Arial" w:cs="Arial"/>
                <w:color w:val="000000"/>
                <w:sz w:val="20"/>
                <w:szCs w:val="20"/>
                <w:lang w:val="en-GB"/>
              </w:rPr>
              <w:t>D</w:t>
            </w:r>
            <w:r w:rsidR="0045117F" w:rsidRPr="0045117F">
              <w:rPr>
                <w:rFonts w:ascii="Arial" w:hAnsi="Arial" w:cs="Arial"/>
                <w:color w:val="000000"/>
                <w:sz w:val="20"/>
                <w:szCs w:val="20"/>
                <w:lang w:val="en-GB"/>
              </w:rPr>
              <w:t xml:space="preserve">irector of renewable energies and the control of energy </w:t>
            </w:r>
            <w:r w:rsidR="002E2240">
              <w:rPr>
                <w:rFonts w:ascii="Arial" w:hAnsi="Arial" w:cs="Arial"/>
                <w:color w:val="000000"/>
                <w:sz w:val="20"/>
                <w:szCs w:val="20"/>
                <w:lang w:val="en-GB"/>
              </w:rPr>
              <w:t>with</w:t>
            </w:r>
            <w:r w:rsidR="0045117F" w:rsidRPr="0045117F">
              <w:rPr>
                <w:rFonts w:ascii="Arial" w:hAnsi="Arial" w:cs="Arial"/>
                <w:color w:val="000000"/>
                <w:sz w:val="20"/>
                <w:szCs w:val="20"/>
                <w:lang w:val="en-GB"/>
              </w:rPr>
              <w:t xml:space="preserve"> the Ministry of Energy and Mines</w:t>
            </w:r>
            <w:r w:rsidR="00E679E6" w:rsidRPr="0045117F">
              <w:rPr>
                <w:rFonts w:ascii="Arial" w:hAnsi="Arial" w:cs="Arial"/>
                <w:color w:val="000000"/>
                <w:sz w:val="20"/>
                <w:szCs w:val="20"/>
                <w:lang w:val="en-GB"/>
              </w:rPr>
              <w:t>:</w:t>
            </w:r>
          </w:p>
          <w:p w:rsidR="000A39D7" w:rsidRDefault="000A39D7" w:rsidP="000A39D7">
            <w:pPr>
              <w:tabs>
                <w:tab w:val="left" w:pos="1335"/>
                <w:tab w:val="left" w:pos="5940"/>
              </w:tabs>
              <w:spacing w:line="276" w:lineRule="auto"/>
              <w:ind w:left="-3188" w:firstLine="3188"/>
              <w:rPr>
                <w:rFonts w:ascii="Arial" w:hAnsi="Arial" w:cs="Arial"/>
                <w:i/>
                <w:color w:val="000000"/>
                <w:sz w:val="20"/>
                <w:szCs w:val="20"/>
                <w:lang w:val="en-US"/>
              </w:rPr>
            </w:pPr>
            <w:r>
              <w:rPr>
                <w:rFonts w:ascii="Arial" w:hAnsi="Arial" w:cs="Arial"/>
                <w:i/>
                <w:color w:val="000000"/>
                <w:sz w:val="20"/>
                <w:szCs w:val="20"/>
                <w:lang w:val="en-US"/>
              </w:rPr>
              <w:t xml:space="preserve">“The exhibition addresses very much to the Algerian interests concerning the energy </w:t>
            </w:r>
          </w:p>
          <w:p w:rsidR="00E679E6" w:rsidRPr="00340BD9" w:rsidRDefault="00F071FD" w:rsidP="000A39D7">
            <w:pPr>
              <w:tabs>
                <w:tab w:val="left" w:pos="1335"/>
                <w:tab w:val="left" w:pos="5940"/>
              </w:tabs>
              <w:spacing w:line="276" w:lineRule="auto"/>
              <w:ind w:left="-3188" w:firstLine="3188"/>
              <w:rPr>
                <w:rFonts w:ascii="Arial" w:hAnsi="Arial" w:cs="Arial"/>
                <w:i/>
                <w:color w:val="000000"/>
                <w:sz w:val="20"/>
                <w:szCs w:val="20"/>
                <w:lang w:val="en-US"/>
              </w:rPr>
            </w:pPr>
            <w:r>
              <w:rPr>
                <w:rFonts w:ascii="Arial" w:hAnsi="Arial" w:cs="Arial"/>
                <w:i/>
                <w:color w:val="000000"/>
                <w:sz w:val="20"/>
                <w:szCs w:val="20"/>
                <w:lang w:val="en-US"/>
              </w:rPr>
              <w:t xml:space="preserve"> </w:t>
            </w:r>
            <w:proofErr w:type="gramStart"/>
            <w:r>
              <w:rPr>
                <w:rFonts w:ascii="Arial" w:hAnsi="Arial" w:cs="Arial"/>
                <w:i/>
                <w:color w:val="000000"/>
                <w:sz w:val="20"/>
                <w:szCs w:val="20"/>
                <w:lang w:val="en-US"/>
              </w:rPr>
              <w:t>q</w:t>
            </w:r>
            <w:r w:rsidR="000A39D7">
              <w:rPr>
                <w:rFonts w:ascii="Arial" w:hAnsi="Arial" w:cs="Arial"/>
                <w:i/>
                <w:color w:val="000000"/>
                <w:sz w:val="20"/>
                <w:szCs w:val="20"/>
                <w:lang w:val="en-US"/>
              </w:rPr>
              <w:t>uestion</w:t>
            </w:r>
            <w:proofErr w:type="gramEnd"/>
            <w:r w:rsidR="000A39D7">
              <w:rPr>
                <w:rFonts w:ascii="Arial" w:hAnsi="Arial" w:cs="Arial"/>
                <w:i/>
                <w:color w:val="000000"/>
                <w:sz w:val="20"/>
                <w:szCs w:val="20"/>
                <w:lang w:val="en-US"/>
              </w:rPr>
              <w:t>, especially in increasing the renewables.”</w:t>
            </w:r>
          </w:p>
        </w:tc>
      </w:tr>
      <w:tr w:rsidR="00E679E6" w:rsidRPr="002A446D" w:rsidTr="00267149">
        <w:tc>
          <w:tcPr>
            <w:tcW w:w="1242" w:type="dxa"/>
          </w:tcPr>
          <w:p w:rsidR="00E679E6" w:rsidRPr="00340BD9" w:rsidRDefault="00E679E6" w:rsidP="00BC1C2D">
            <w:pPr>
              <w:tabs>
                <w:tab w:val="left" w:pos="1335"/>
                <w:tab w:val="left" w:pos="5940"/>
              </w:tabs>
              <w:spacing w:line="276" w:lineRule="auto"/>
              <w:ind w:right="2689"/>
              <w:jc w:val="both"/>
              <w:rPr>
                <w:noProof/>
                <w:lang w:val="en-US"/>
              </w:rPr>
            </w:pPr>
          </w:p>
        </w:tc>
        <w:tc>
          <w:tcPr>
            <w:tcW w:w="7938" w:type="dxa"/>
          </w:tcPr>
          <w:p w:rsidR="00E679E6" w:rsidRPr="00340BD9" w:rsidRDefault="00E679E6" w:rsidP="00BC1C2D">
            <w:pPr>
              <w:tabs>
                <w:tab w:val="left" w:pos="1335"/>
                <w:tab w:val="left" w:pos="5940"/>
              </w:tabs>
              <w:spacing w:line="276" w:lineRule="auto"/>
              <w:rPr>
                <w:rFonts w:ascii="Arial" w:hAnsi="Arial" w:cs="Arial"/>
                <w:b/>
                <w:color w:val="000000"/>
                <w:sz w:val="20"/>
                <w:szCs w:val="20"/>
                <w:lang w:val="en-US"/>
              </w:rPr>
            </w:pPr>
          </w:p>
        </w:tc>
      </w:tr>
      <w:tr w:rsidR="00E679E6" w:rsidRPr="002A446D" w:rsidTr="00267149">
        <w:trPr>
          <w:trHeight w:val="1117"/>
        </w:trPr>
        <w:tc>
          <w:tcPr>
            <w:tcW w:w="1242" w:type="dxa"/>
          </w:tcPr>
          <w:p w:rsidR="00E679E6" w:rsidRPr="00340BD9" w:rsidRDefault="000C283F" w:rsidP="00BC1C2D">
            <w:pPr>
              <w:tabs>
                <w:tab w:val="left" w:pos="1335"/>
                <w:tab w:val="left" w:pos="5940"/>
              </w:tabs>
              <w:spacing w:line="276" w:lineRule="auto"/>
              <w:ind w:right="2689"/>
              <w:jc w:val="both"/>
              <w:rPr>
                <w:noProof/>
                <w:lang w:val="en-US"/>
              </w:rPr>
            </w:pPr>
            <w:r>
              <w:rPr>
                <w:noProof/>
                <w:lang w:val="en-GB" w:eastAsia="en-GB"/>
              </w:rPr>
              <w:drawing>
                <wp:inline distT="0" distB="0" distL="0" distR="0">
                  <wp:extent cx="652145" cy="795020"/>
                  <wp:effectExtent l="0" t="0" r="0" b="508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145" cy="795020"/>
                          </a:xfrm>
                          <a:prstGeom prst="rect">
                            <a:avLst/>
                          </a:prstGeom>
                          <a:noFill/>
                          <a:ln>
                            <a:noFill/>
                          </a:ln>
                        </pic:spPr>
                      </pic:pic>
                    </a:graphicData>
                  </a:graphic>
                </wp:inline>
              </w:drawing>
            </w:r>
          </w:p>
        </w:tc>
        <w:tc>
          <w:tcPr>
            <w:tcW w:w="7938" w:type="dxa"/>
          </w:tcPr>
          <w:p w:rsidR="00E679E6" w:rsidRPr="00D07E0D" w:rsidRDefault="000C283F" w:rsidP="000C283F">
            <w:pPr>
              <w:tabs>
                <w:tab w:val="left" w:pos="1335"/>
                <w:tab w:val="left" w:pos="5940"/>
              </w:tabs>
              <w:spacing w:line="276" w:lineRule="auto"/>
              <w:rPr>
                <w:rFonts w:ascii="Arial" w:hAnsi="Arial" w:cs="Arial"/>
                <w:color w:val="000000"/>
                <w:sz w:val="20"/>
                <w:szCs w:val="20"/>
                <w:lang w:val="en-GB"/>
              </w:rPr>
            </w:pPr>
            <w:r w:rsidRPr="00D07E0D">
              <w:rPr>
                <w:rFonts w:ascii="Arial" w:hAnsi="Arial" w:cs="Arial"/>
                <w:b/>
                <w:color w:val="000000"/>
                <w:sz w:val="20"/>
                <w:szCs w:val="20"/>
                <w:lang w:val="en-GB"/>
              </w:rPr>
              <w:t xml:space="preserve">M. Farouk Ben </w:t>
            </w:r>
            <w:proofErr w:type="spellStart"/>
            <w:r w:rsidRPr="00D07E0D">
              <w:rPr>
                <w:rFonts w:ascii="Arial" w:hAnsi="Arial" w:cs="Arial"/>
                <w:b/>
                <w:color w:val="000000"/>
                <w:sz w:val="20"/>
                <w:szCs w:val="20"/>
                <w:lang w:val="en-GB"/>
              </w:rPr>
              <w:t>Abdoun</w:t>
            </w:r>
            <w:proofErr w:type="spellEnd"/>
            <w:r w:rsidRPr="00D07E0D">
              <w:rPr>
                <w:rFonts w:ascii="Arial" w:hAnsi="Arial" w:cs="Arial"/>
                <w:b/>
                <w:color w:val="000000"/>
                <w:sz w:val="20"/>
                <w:szCs w:val="20"/>
                <w:lang w:val="en-GB"/>
              </w:rPr>
              <w:t xml:space="preserve">, </w:t>
            </w:r>
            <w:r w:rsidR="005C65C9" w:rsidRPr="00D07E0D">
              <w:rPr>
                <w:rFonts w:ascii="Arial" w:hAnsi="Arial" w:cs="Arial"/>
                <w:color w:val="000000"/>
                <w:sz w:val="20"/>
                <w:szCs w:val="20"/>
                <w:lang w:val="en-GB"/>
              </w:rPr>
              <w:t>Managing Director</w:t>
            </w:r>
            <w:r w:rsidR="00BE22D0">
              <w:rPr>
                <w:rFonts w:ascii="Arial" w:hAnsi="Arial" w:cs="Arial"/>
                <w:color w:val="000000"/>
                <w:sz w:val="20"/>
                <w:szCs w:val="20"/>
                <w:lang w:val="en-GB"/>
              </w:rPr>
              <w:t xml:space="preserve"> of</w:t>
            </w:r>
            <w:r w:rsidRPr="00D07E0D">
              <w:rPr>
                <w:rFonts w:ascii="Arial" w:hAnsi="Arial" w:cs="Arial"/>
                <w:color w:val="000000"/>
                <w:sz w:val="20"/>
                <w:szCs w:val="20"/>
                <w:lang w:val="en-GB"/>
              </w:rPr>
              <w:t xml:space="preserve"> Siemens Alg</w:t>
            </w:r>
            <w:r w:rsidR="005C65C9" w:rsidRPr="00D07E0D">
              <w:rPr>
                <w:rFonts w:ascii="Arial" w:hAnsi="Arial" w:cs="Arial"/>
                <w:color w:val="000000"/>
                <w:sz w:val="20"/>
                <w:szCs w:val="20"/>
                <w:lang w:val="en-GB"/>
              </w:rPr>
              <w:t>e</w:t>
            </w:r>
            <w:r w:rsidRPr="00D07E0D">
              <w:rPr>
                <w:rFonts w:ascii="Arial" w:hAnsi="Arial" w:cs="Arial"/>
                <w:color w:val="000000"/>
                <w:sz w:val="20"/>
                <w:szCs w:val="20"/>
                <w:lang w:val="en-GB"/>
              </w:rPr>
              <w:t>ri</w:t>
            </w:r>
            <w:r w:rsidR="005C65C9" w:rsidRPr="00D07E0D">
              <w:rPr>
                <w:rFonts w:ascii="Arial" w:hAnsi="Arial" w:cs="Arial"/>
                <w:color w:val="000000"/>
                <w:sz w:val="20"/>
                <w:szCs w:val="20"/>
                <w:lang w:val="en-GB"/>
              </w:rPr>
              <w:t>a</w:t>
            </w:r>
            <w:r w:rsidR="00E679E6" w:rsidRPr="00D07E0D">
              <w:rPr>
                <w:rFonts w:ascii="Arial" w:hAnsi="Arial" w:cs="Arial"/>
                <w:color w:val="000000"/>
                <w:sz w:val="20"/>
                <w:szCs w:val="20"/>
                <w:lang w:val="en-GB"/>
              </w:rPr>
              <w:t xml:space="preserve">: </w:t>
            </w:r>
          </w:p>
          <w:p w:rsidR="00D07E0D" w:rsidRDefault="00B04C37" w:rsidP="00D07E0D">
            <w:pPr>
              <w:tabs>
                <w:tab w:val="left" w:pos="1335"/>
                <w:tab w:val="left" w:pos="5940"/>
              </w:tabs>
              <w:spacing w:line="276" w:lineRule="auto"/>
              <w:ind w:left="-3188" w:firstLine="3188"/>
              <w:rPr>
                <w:rFonts w:ascii="Arial" w:hAnsi="Arial" w:cs="Arial"/>
                <w:i/>
                <w:color w:val="000000"/>
                <w:sz w:val="20"/>
                <w:szCs w:val="20"/>
                <w:lang w:val="en-US"/>
              </w:rPr>
            </w:pPr>
            <w:r w:rsidRPr="00340BD9">
              <w:rPr>
                <w:rFonts w:ascii="Arial" w:hAnsi="Arial" w:cs="Arial"/>
                <w:i/>
                <w:color w:val="000000"/>
                <w:sz w:val="20"/>
                <w:szCs w:val="20"/>
                <w:lang w:val="en-US"/>
              </w:rPr>
              <w:t>“</w:t>
            </w:r>
            <w:r w:rsidR="00D07E0D">
              <w:rPr>
                <w:rFonts w:ascii="Arial" w:hAnsi="Arial" w:cs="Arial"/>
                <w:i/>
                <w:color w:val="000000"/>
                <w:sz w:val="20"/>
                <w:szCs w:val="20"/>
                <w:lang w:val="en-US"/>
              </w:rPr>
              <w:t>Siemens is also thinking about the future, in particular of the upcoming importance</w:t>
            </w:r>
          </w:p>
          <w:p w:rsidR="00E679E6" w:rsidRPr="00340BD9" w:rsidRDefault="00D07E0D" w:rsidP="00D07E0D">
            <w:pPr>
              <w:tabs>
                <w:tab w:val="left" w:pos="1335"/>
                <w:tab w:val="left" w:pos="5940"/>
              </w:tabs>
              <w:spacing w:line="276" w:lineRule="auto"/>
              <w:ind w:left="-3188" w:firstLine="3188"/>
              <w:rPr>
                <w:rFonts w:ascii="Arial" w:hAnsi="Arial" w:cs="Arial"/>
                <w:color w:val="000000"/>
                <w:sz w:val="20"/>
                <w:szCs w:val="20"/>
                <w:lang w:val="en-US"/>
              </w:rPr>
            </w:pPr>
            <w:r>
              <w:rPr>
                <w:rFonts w:ascii="Arial" w:hAnsi="Arial" w:cs="Arial"/>
                <w:i/>
                <w:color w:val="000000"/>
                <w:sz w:val="20"/>
                <w:szCs w:val="20"/>
                <w:lang w:val="en-US"/>
              </w:rPr>
              <w:t xml:space="preserve">  </w:t>
            </w:r>
            <w:proofErr w:type="gramStart"/>
            <w:r>
              <w:rPr>
                <w:rFonts w:ascii="Arial" w:hAnsi="Arial" w:cs="Arial"/>
                <w:i/>
                <w:color w:val="000000"/>
                <w:sz w:val="20"/>
                <w:szCs w:val="20"/>
                <w:lang w:val="en-US"/>
              </w:rPr>
              <w:t>of</w:t>
            </w:r>
            <w:proofErr w:type="gramEnd"/>
            <w:r>
              <w:rPr>
                <w:rFonts w:ascii="Arial" w:hAnsi="Arial" w:cs="Arial"/>
                <w:i/>
                <w:color w:val="000000"/>
                <w:sz w:val="20"/>
                <w:szCs w:val="20"/>
                <w:lang w:val="en-US"/>
              </w:rPr>
              <w:t xml:space="preserve"> renewable energies for Algeria."</w:t>
            </w:r>
            <w:r>
              <w:rPr>
                <w:rFonts w:ascii="Arial" w:hAnsi="Arial" w:cs="Arial"/>
                <w:i/>
                <w:color w:val="000000"/>
                <w:sz w:val="20"/>
                <w:szCs w:val="20"/>
                <w:lang w:val="en-US"/>
              </w:rPr>
              <w:br/>
            </w:r>
          </w:p>
        </w:tc>
      </w:tr>
      <w:tr w:rsidR="00E679E6" w:rsidRPr="002A446D" w:rsidTr="00267149">
        <w:tc>
          <w:tcPr>
            <w:tcW w:w="1242" w:type="dxa"/>
          </w:tcPr>
          <w:p w:rsidR="00E679E6" w:rsidRPr="00340BD9" w:rsidRDefault="00E679E6" w:rsidP="00BC1C2D">
            <w:pPr>
              <w:tabs>
                <w:tab w:val="left" w:pos="1335"/>
                <w:tab w:val="left" w:pos="5940"/>
              </w:tabs>
              <w:spacing w:line="276" w:lineRule="auto"/>
              <w:ind w:right="2689"/>
              <w:jc w:val="both"/>
              <w:rPr>
                <w:noProof/>
                <w:lang w:val="en-US"/>
              </w:rPr>
            </w:pPr>
          </w:p>
        </w:tc>
        <w:tc>
          <w:tcPr>
            <w:tcW w:w="7938" w:type="dxa"/>
          </w:tcPr>
          <w:p w:rsidR="00E679E6" w:rsidRPr="00340BD9" w:rsidRDefault="00E679E6" w:rsidP="00BC1C2D">
            <w:pPr>
              <w:tabs>
                <w:tab w:val="left" w:pos="1335"/>
                <w:tab w:val="left" w:pos="5940"/>
              </w:tabs>
              <w:spacing w:line="276" w:lineRule="auto"/>
              <w:rPr>
                <w:rFonts w:ascii="Arial" w:hAnsi="Arial" w:cs="Arial"/>
                <w:b/>
                <w:color w:val="000000"/>
                <w:sz w:val="20"/>
                <w:szCs w:val="20"/>
                <w:lang w:val="en-US"/>
              </w:rPr>
            </w:pPr>
          </w:p>
        </w:tc>
      </w:tr>
      <w:tr w:rsidR="00E679E6" w:rsidRPr="002A446D" w:rsidTr="00267149">
        <w:trPr>
          <w:trHeight w:val="1117"/>
        </w:trPr>
        <w:tc>
          <w:tcPr>
            <w:tcW w:w="1242" w:type="dxa"/>
          </w:tcPr>
          <w:p w:rsidR="00E679E6" w:rsidRPr="00340BD9" w:rsidRDefault="00F071FD" w:rsidP="00BC1C2D">
            <w:pPr>
              <w:tabs>
                <w:tab w:val="left" w:pos="1335"/>
                <w:tab w:val="left" w:pos="5940"/>
              </w:tabs>
              <w:spacing w:line="276" w:lineRule="auto"/>
              <w:ind w:right="2689"/>
              <w:jc w:val="both"/>
              <w:rPr>
                <w:noProof/>
                <w:lang w:val="en-US"/>
              </w:rPr>
            </w:pPr>
            <w:r>
              <w:object w:dxaOrig="5339"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22.55pt" o:ole="">
                  <v:imagedata r:id="rId14" o:title=""/>
                </v:shape>
                <o:OLEObject Type="Embed" ProgID="PBrush" ShapeID="_x0000_i1025" DrawAspect="Content" ObjectID="_1402213852" r:id="rId15"/>
              </w:object>
            </w:r>
          </w:p>
        </w:tc>
        <w:tc>
          <w:tcPr>
            <w:tcW w:w="7938" w:type="dxa"/>
          </w:tcPr>
          <w:p w:rsidR="00E679E6" w:rsidRPr="00D07E0D" w:rsidRDefault="00F071FD" w:rsidP="000C283F">
            <w:pPr>
              <w:tabs>
                <w:tab w:val="left" w:pos="1335"/>
                <w:tab w:val="left" w:pos="5940"/>
              </w:tabs>
              <w:spacing w:line="276" w:lineRule="auto"/>
              <w:rPr>
                <w:rFonts w:ascii="Arial" w:hAnsi="Arial" w:cs="Arial"/>
                <w:color w:val="000000"/>
                <w:sz w:val="20"/>
                <w:szCs w:val="20"/>
                <w:lang w:val="en-GB"/>
              </w:rPr>
            </w:pPr>
            <w:proofErr w:type="spellStart"/>
            <w:r>
              <w:rPr>
                <w:rFonts w:ascii="Arial" w:hAnsi="Arial" w:cs="Arial"/>
                <w:b/>
                <w:color w:val="000000"/>
                <w:sz w:val="20"/>
                <w:szCs w:val="20"/>
                <w:lang w:val="en-GB"/>
              </w:rPr>
              <w:t>Luclo</w:t>
            </w:r>
            <w:proofErr w:type="spellEnd"/>
            <w:r>
              <w:rPr>
                <w:rFonts w:ascii="Arial" w:hAnsi="Arial" w:cs="Arial"/>
                <w:b/>
                <w:color w:val="000000"/>
                <w:sz w:val="20"/>
                <w:szCs w:val="20"/>
                <w:lang w:val="en-GB"/>
              </w:rPr>
              <w:t xml:space="preserve"> </w:t>
            </w:r>
            <w:proofErr w:type="spellStart"/>
            <w:r>
              <w:rPr>
                <w:rFonts w:ascii="Arial" w:hAnsi="Arial" w:cs="Arial"/>
                <w:b/>
                <w:color w:val="000000"/>
                <w:sz w:val="20"/>
                <w:szCs w:val="20"/>
                <w:lang w:val="en-GB"/>
              </w:rPr>
              <w:t>Torrisi</w:t>
            </w:r>
            <w:proofErr w:type="spellEnd"/>
            <w:r w:rsidR="000C283F" w:rsidRPr="00D07E0D">
              <w:rPr>
                <w:rFonts w:ascii="Arial" w:hAnsi="Arial" w:cs="Arial"/>
                <w:b/>
                <w:color w:val="000000"/>
                <w:sz w:val="20"/>
                <w:szCs w:val="20"/>
                <w:lang w:val="en-GB"/>
              </w:rPr>
              <w:t xml:space="preserve">, </w:t>
            </w:r>
            <w:r w:rsidRPr="00F071FD">
              <w:rPr>
                <w:rFonts w:ascii="Arial" w:hAnsi="Arial" w:cs="Arial"/>
                <w:color w:val="000000"/>
                <w:sz w:val="20"/>
                <w:szCs w:val="20"/>
                <w:lang w:val="en-GB"/>
              </w:rPr>
              <w:t>Business Development</w:t>
            </w:r>
            <w:r w:rsidR="00D07E0D" w:rsidRPr="00F071FD">
              <w:rPr>
                <w:rFonts w:ascii="Arial" w:hAnsi="Arial" w:cs="Arial"/>
                <w:color w:val="000000"/>
                <w:sz w:val="20"/>
                <w:szCs w:val="20"/>
                <w:lang w:val="en-GB"/>
              </w:rPr>
              <w:t xml:space="preserve"> </w:t>
            </w:r>
            <w:r>
              <w:rPr>
                <w:rFonts w:ascii="Arial" w:hAnsi="Arial" w:cs="Arial"/>
                <w:color w:val="000000"/>
                <w:sz w:val="20"/>
                <w:szCs w:val="20"/>
                <w:lang w:val="en-GB"/>
              </w:rPr>
              <w:t xml:space="preserve">&amp; Sales </w:t>
            </w:r>
            <w:r w:rsidR="00D07E0D" w:rsidRPr="00F071FD">
              <w:rPr>
                <w:rFonts w:ascii="Arial" w:hAnsi="Arial" w:cs="Arial"/>
                <w:color w:val="000000"/>
                <w:sz w:val="20"/>
                <w:szCs w:val="20"/>
                <w:lang w:val="en-GB"/>
              </w:rPr>
              <w:t>Manager</w:t>
            </w:r>
            <w:r w:rsidR="00BE22D0">
              <w:rPr>
                <w:rFonts w:ascii="Arial" w:hAnsi="Arial" w:cs="Arial"/>
                <w:color w:val="000000"/>
                <w:sz w:val="20"/>
                <w:szCs w:val="20"/>
                <w:lang w:val="en-GB"/>
              </w:rPr>
              <w:t xml:space="preserve"> of </w:t>
            </w:r>
            <w:proofErr w:type="spellStart"/>
            <w:r>
              <w:rPr>
                <w:rFonts w:ascii="Arial" w:hAnsi="Arial" w:cs="Arial"/>
                <w:color w:val="000000"/>
                <w:sz w:val="20"/>
                <w:szCs w:val="20"/>
                <w:lang w:val="en-GB"/>
              </w:rPr>
              <w:t>Asea</w:t>
            </w:r>
            <w:proofErr w:type="spellEnd"/>
            <w:r>
              <w:rPr>
                <w:rFonts w:ascii="Arial" w:hAnsi="Arial" w:cs="Arial"/>
                <w:color w:val="000000"/>
                <w:sz w:val="20"/>
                <w:szCs w:val="20"/>
                <w:lang w:val="en-GB"/>
              </w:rPr>
              <w:t xml:space="preserve"> Brown </w:t>
            </w:r>
            <w:proofErr w:type="spellStart"/>
            <w:r>
              <w:rPr>
                <w:rFonts w:ascii="Arial" w:hAnsi="Arial" w:cs="Arial"/>
                <w:color w:val="000000"/>
                <w:sz w:val="20"/>
                <w:szCs w:val="20"/>
                <w:lang w:val="en-GB"/>
              </w:rPr>
              <w:t>Boveri</w:t>
            </w:r>
            <w:proofErr w:type="spellEnd"/>
            <w:r w:rsidR="00BE22D0">
              <w:rPr>
                <w:rFonts w:ascii="Arial" w:hAnsi="Arial" w:cs="Arial"/>
                <w:color w:val="000000"/>
                <w:sz w:val="20"/>
                <w:szCs w:val="20"/>
                <w:lang w:val="en-GB"/>
              </w:rPr>
              <w:t xml:space="preserve"> Group</w:t>
            </w:r>
            <w:r>
              <w:rPr>
                <w:rFonts w:ascii="Arial" w:hAnsi="Arial" w:cs="Arial"/>
                <w:color w:val="000000"/>
                <w:sz w:val="20"/>
                <w:szCs w:val="20"/>
                <w:lang w:val="en-GB"/>
              </w:rPr>
              <w:t>, ABB</w:t>
            </w:r>
            <w:r w:rsidR="00E679E6" w:rsidRPr="00F071FD">
              <w:rPr>
                <w:rFonts w:ascii="Arial" w:hAnsi="Arial" w:cs="Arial"/>
                <w:color w:val="000000"/>
                <w:sz w:val="20"/>
                <w:szCs w:val="20"/>
                <w:lang w:val="en-GB"/>
              </w:rPr>
              <w:t>:</w:t>
            </w:r>
          </w:p>
          <w:p w:rsidR="00E679E6" w:rsidRPr="00340BD9" w:rsidRDefault="00E679E6" w:rsidP="00F071FD">
            <w:pPr>
              <w:tabs>
                <w:tab w:val="left" w:pos="1335"/>
                <w:tab w:val="left" w:pos="5940"/>
              </w:tabs>
              <w:spacing w:line="276" w:lineRule="auto"/>
              <w:rPr>
                <w:rFonts w:ascii="Arial" w:hAnsi="Arial" w:cs="Arial"/>
                <w:b/>
                <w:color w:val="000000"/>
                <w:sz w:val="20"/>
                <w:szCs w:val="20"/>
                <w:lang w:val="en-US"/>
              </w:rPr>
            </w:pPr>
            <w:r w:rsidRPr="00340BD9">
              <w:rPr>
                <w:rFonts w:ascii="Arial" w:hAnsi="Arial" w:cs="Arial"/>
                <w:i/>
                <w:color w:val="000000"/>
                <w:sz w:val="20"/>
                <w:szCs w:val="20"/>
                <w:lang w:val="en-US"/>
              </w:rPr>
              <w:t>“</w:t>
            </w:r>
            <w:r w:rsidR="00F071FD">
              <w:rPr>
                <w:rFonts w:ascii="Arial" w:hAnsi="Arial" w:cs="Arial"/>
                <w:i/>
                <w:color w:val="000000"/>
                <w:sz w:val="20"/>
                <w:szCs w:val="20"/>
                <w:lang w:val="en-US"/>
              </w:rPr>
              <w:t>With a very positive development the Algerian market evolved as one of the most promising markets in the whole region.”</w:t>
            </w:r>
          </w:p>
        </w:tc>
      </w:tr>
      <w:tr w:rsidR="00326CC6" w:rsidRPr="002A446D" w:rsidTr="00267149">
        <w:tc>
          <w:tcPr>
            <w:tcW w:w="1242" w:type="dxa"/>
          </w:tcPr>
          <w:p w:rsidR="00326CC6" w:rsidRPr="00340BD9" w:rsidRDefault="00326CC6" w:rsidP="00BC1C2D">
            <w:pPr>
              <w:tabs>
                <w:tab w:val="left" w:pos="1335"/>
                <w:tab w:val="left" w:pos="5940"/>
              </w:tabs>
              <w:spacing w:line="276" w:lineRule="auto"/>
              <w:ind w:right="2689"/>
              <w:jc w:val="both"/>
              <w:rPr>
                <w:noProof/>
                <w:lang w:val="en-US"/>
              </w:rPr>
            </w:pPr>
          </w:p>
        </w:tc>
        <w:tc>
          <w:tcPr>
            <w:tcW w:w="7938" w:type="dxa"/>
          </w:tcPr>
          <w:p w:rsidR="00326CC6" w:rsidRPr="00340BD9" w:rsidRDefault="00326CC6" w:rsidP="00BC1C2D">
            <w:pPr>
              <w:tabs>
                <w:tab w:val="left" w:pos="1335"/>
                <w:tab w:val="left" w:pos="5940"/>
              </w:tabs>
              <w:spacing w:line="276" w:lineRule="auto"/>
              <w:rPr>
                <w:rFonts w:ascii="Arial" w:hAnsi="Arial" w:cs="Arial"/>
                <w:b/>
                <w:color w:val="000000"/>
                <w:sz w:val="20"/>
                <w:szCs w:val="20"/>
                <w:lang w:val="en-US"/>
              </w:rPr>
            </w:pPr>
          </w:p>
        </w:tc>
      </w:tr>
      <w:tr w:rsidR="00326CC6" w:rsidRPr="00947B77" w:rsidTr="00267149">
        <w:trPr>
          <w:trHeight w:val="1504"/>
        </w:trPr>
        <w:tc>
          <w:tcPr>
            <w:tcW w:w="1242" w:type="dxa"/>
          </w:tcPr>
          <w:p w:rsidR="00326CC6" w:rsidRPr="00340BD9" w:rsidRDefault="00947B77" w:rsidP="00BC1C2D">
            <w:pPr>
              <w:tabs>
                <w:tab w:val="left" w:pos="1335"/>
                <w:tab w:val="left" w:pos="5940"/>
              </w:tabs>
              <w:spacing w:line="276" w:lineRule="auto"/>
              <w:ind w:right="2689"/>
              <w:jc w:val="both"/>
              <w:rPr>
                <w:noProof/>
                <w:lang w:val="en-US"/>
              </w:rPr>
            </w:pPr>
            <w:r>
              <w:object w:dxaOrig="1380" w:dyaOrig="1725">
                <v:shape id="_x0000_i1026" type="#_x0000_t75" style="width:51.35pt;height:63.85pt" o:ole="">
                  <v:imagedata r:id="rId16" o:title=""/>
                </v:shape>
                <o:OLEObject Type="Embed" ProgID="PBrush" ShapeID="_x0000_i1026" DrawAspect="Content" ObjectID="_1402213853" r:id="rId17"/>
              </w:object>
            </w:r>
          </w:p>
        </w:tc>
        <w:tc>
          <w:tcPr>
            <w:tcW w:w="7938" w:type="dxa"/>
          </w:tcPr>
          <w:p w:rsidR="00947B77" w:rsidRPr="00947B77" w:rsidRDefault="00947B77" w:rsidP="00947B77">
            <w:pPr>
              <w:tabs>
                <w:tab w:val="left" w:pos="1335"/>
                <w:tab w:val="left" w:pos="5940"/>
              </w:tabs>
              <w:spacing w:line="276" w:lineRule="auto"/>
              <w:rPr>
                <w:rFonts w:ascii="Arial" w:hAnsi="Arial" w:cs="Arial"/>
                <w:i/>
                <w:color w:val="000000"/>
                <w:sz w:val="20"/>
                <w:szCs w:val="20"/>
                <w:lang w:val="en-GB"/>
              </w:rPr>
            </w:pPr>
            <w:proofErr w:type="spellStart"/>
            <w:r w:rsidRPr="00947B77">
              <w:rPr>
                <w:rFonts w:ascii="Arial" w:hAnsi="Arial" w:cs="Arial"/>
                <w:b/>
                <w:color w:val="000000"/>
                <w:sz w:val="20"/>
                <w:szCs w:val="20"/>
                <w:lang w:val="en-GB"/>
              </w:rPr>
              <w:t>Nilesh</w:t>
            </w:r>
            <w:proofErr w:type="spellEnd"/>
            <w:r w:rsidRPr="00947B77">
              <w:rPr>
                <w:rFonts w:ascii="Arial" w:hAnsi="Arial" w:cs="Arial"/>
                <w:b/>
                <w:color w:val="000000"/>
                <w:sz w:val="20"/>
                <w:szCs w:val="20"/>
                <w:lang w:val="en-GB"/>
              </w:rPr>
              <w:t xml:space="preserve"> </w:t>
            </w:r>
            <w:proofErr w:type="spellStart"/>
            <w:r w:rsidRPr="00947B77">
              <w:rPr>
                <w:rFonts w:ascii="Arial" w:hAnsi="Arial" w:cs="Arial"/>
                <w:b/>
                <w:color w:val="000000"/>
                <w:sz w:val="20"/>
                <w:szCs w:val="20"/>
                <w:lang w:val="en-GB"/>
              </w:rPr>
              <w:t>Patil</w:t>
            </w:r>
            <w:proofErr w:type="spellEnd"/>
            <w:r w:rsidRPr="00947B77">
              <w:rPr>
                <w:rFonts w:ascii="Arial" w:hAnsi="Arial" w:cs="Arial"/>
                <w:b/>
                <w:color w:val="000000"/>
                <w:sz w:val="20"/>
                <w:szCs w:val="20"/>
                <w:lang w:val="en-GB"/>
              </w:rPr>
              <w:t xml:space="preserve">, </w:t>
            </w:r>
            <w:r w:rsidRPr="00947B77">
              <w:rPr>
                <w:rFonts w:ascii="Arial" w:hAnsi="Arial" w:cs="Arial"/>
                <w:color w:val="000000"/>
                <w:sz w:val="20"/>
                <w:szCs w:val="20"/>
                <w:lang w:val="en-GB"/>
              </w:rPr>
              <w:t>General Manager wi</w:t>
            </w:r>
            <w:r w:rsidR="00BE22D0">
              <w:rPr>
                <w:rFonts w:ascii="Arial" w:hAnsi="Arial" w:cs="Arial"/>
                <w:color w:val="000000"/>
                <w:sz w:val="20"/>
                <w:szCs w:val="20"/>
                <w:lang w:val="en-GB"/>
              </w:rPr>
              <w:t xml:space="preserve">th </w:t>
            </w:r>
            <w:proofErr w:type="spellStart"/>
            <w:r w:rsidR="00BE22D0">
              <w:rPr>
                <w:rFonts w:ascii="Arial" w:hAnsi="Arial" w:cs="Arial"/>
                <w:color w:val="000000"/>
                <w:sz w:val="20"/>
                <w:szCs w:val="20"/>
                <w:lang w:val="en-GB"/>
              </w:rPr>
              <w:t>Rishabh</w:t>
            </w:r>
            <w:proofErr w:type="spellEnd"/>
            <w:r w:rsidR="00BE22D0">
              <w:rPr>
                <w:rFonts w:ascii="Arial" w:hAnsi="Arial" w:cs="Arial"/>
                <w:color w:val="000000"/>
                <w:sz w:val="20"/>
                <w:szCs w:val="20"/>
                <w:lang w:val="en-GB"/>
              </w:rPr>
              <w:t xml:space="preserve"> Instruments </w:t>
            </w:r>
            <w:proofErr w:type="gramStart"/>
            <w:r w:rsidR="00BE22D0">
              <w:rPr>
                <w:rFonts w:ascii="Arial" w:hAnsi="Arial" w:cs="Arial"/>
                <w:color w:val="000000"/>
                <w:sz w:val="20"/>
                <w:szCs w:val="20"/>
                <w:lang w:val="en-GB"/>
              </w:rPr>
              <w:t>PVT.LTD.</w:t>
            </w:r>
            <w:r w:rsidRPr="00947B77">
              <w:rPr>
                <w:rFonts w:ascii="Arial" w:hAnsi="Arial" w:cs="Arial"/>
                <w:i/>
                <w:color w:val="000000"/>
                <w:sz w:val="20"/>
                <w:szCs w:val="20"/>
                <w:lang w:val="en-GB"/>
              </w:rPr>
              <w:t>:</w:t>
            </w:r>
            <w:proofErr w:type="gramEnd"/>
          </w:p>
          <w:p w:rsidR="00326CC6" w:rsidRPr="00340BD9" w:rsidRDefault="00E563FC" w:rsidP="00947B77">
            <w:pPr>
              <w:tabs>
                <w:tab w:val="left" w:pos="1335"/>
                <w:tab w:val="left" w:pos="5940"/>
              </w:tabs>
              <w:spacing w:line="276" w:lineRule="auto"/>
              <w:rPr>
                <w:rFonts w:ascii="Arial" w:hAnsi="Arial" w:cs="Arial"/>
                <w:b/>
                <w:color w:val="000000"/>
                <w:sz w:val="20"/>
                <w:szCs w:val="20"/>
                <w:lang w:val="en-US"/>
              </w:rPr>
            </w:pPr>
            <w:r w:rsidRPr="00340BD9">
              <w:rPr>
                <w:rFonts w:ascii="Arial" w:hAnsi="Arial" w:cs="Arial"/>
                <w:i/>
                <w:color w:val="000000"/>
                <w:sz w:val="20"/>
                <w:szCs w:val="20"/>
                <w:lang w:val="en-US"/>
              </w:rPr>
              <w:t>“</w:t>
            </w:r>
            <w:r w:rsidR="00947B77">
              <w:rPr>
                <w:rFonts w:ascii="Arial" w:hAnsi="Arial" w:cs="Arial"/>
                <w:i/>
                <w:color w:val="000000"/>
                <w:sz w:val="20"/>
                <w:szCs w:val="20"/>
                <w:lang w:val="en-US"/>
              </w:rPr>
              <w:t>We participate for the second time at international exhibition for renewable energies. And we are very happy to be here!</w:t>
            </w:r>
            <w:r w:rsidRPr="00340BD9">
              <w:rPr>
                <w:rFonts w:ascii="Arial" w:hAnsi="Arial" w:cs="Arial"/>
                <w:i/>
                <w:color w:val="000000"/>
                <w:sz w:val="20"/>
                <w:szCs w:val="20"/>
                <w:lang w:val="en-US"/>
              </w:rPr>
              <w:t xml:space="preserve">” </w:t>
            </w:r>
          </w:p>
        </w:tc>
      </w:tr>
      <w:tr w:rsidR="000826A5" w:rsidRPr="00947B77" w:rsidTr="00267149">
        <w:tc>
          <w:tcPr>
            <w:tcW w:w="1242" w:type="dxa"/>
          </w:tcPr>
          <w:p w:rsidR="000826A5" w:rsidRPr="00340BD9" w:rsidRDefault="000826A5" w:rsidP="00BC1C2D">
            <w:pPr>
              <w:tabs>
                <w:tab w:val="left" w:pos="1335"/>
                <w:tab w:val="left" w:pos="5940"/>
              </w:tabs>
              <w:spacing w:line="276" w:lineRule="auto"/>
              <w:ind w:right="2689"/>
              <w:jc w:val="both"/>
              <w:rPr>
                <w:noProof/>
                <w:lang w:val="en-US"/>
              </w:rPr>
            </w:pPr>
          </w:p>
        </w:tc>
        <w:tc>
          <w:tcPr>
            <w:tcW w:w="7938" w:type="dxa"/>
          </w:tcPr>
          <w:p w:rsidR="000826A5" w:rsidRPr="00340BD9" w:rsidRDefault="000826A5" w:rsidP="00BC1C2D">
            <w:pPr>
              <w:tabs>
                <w:tab w:val="left" w:pos="1335"/>
                <w:tab w:val="left" w:pos="5940"/>
              </w:tabs>
              <w:spacing w:line="276" w:lineRule="auto"/>
              <w:rPr>
                <w:rFonts w:ascii="Arial" w:hAnsi="Arial" w:cs="Arial"/>
                <w:b/>
                <w:color w:val="000000"/>
                <w:sz w:val="20"/>
                <w:szCs w:val="20"/>
                <w:lang w:val="en-US"/>
              </w:rPr>
            </w:pPr>
          </w:p>
        </w:tc>
      </w:tr>
      <w:tr w:rsidR="000826A5" w:rsidRPr="002A446D" w:rsidTr="00267149">
        <w:tc>
          <w:tcPr>
            <w:tcW w:w="1242" w:type="dxa"/>
          </w:tcPr>
          <w:p w:rsidR="000826A5" w:rsidRPr="00340BD9" w:rsidRDefault="00B253B1" w:rsidP="00BC1C2D">
            <w:pPr>
              <w:tabs>
                <w:tab w:val="left" w:pos="1335"/>
                <w:tab w:val="left" w:pos="5940"/>
              </w:tabs>
              <w:spacing w:line="276" w:lineRule="auto"/>
              <w:ind w:right="2689"/>
              <w:jc w:val="both"/>
              <w:rPr>
                <w:noProof/>
                <w:lang w:val="en-US"/>
              </w:rPr>
            </w:pPr>
            <w:r>
              <w:rPr>
                <w:noProof/>
                <w:lang w:val="en-GB" w:eastAsia="en-GB"/>
              </w:rPr>
              <w:drawing>
                <wp:inline distT="0" distB="0" distL="0" distR="0">
                  <wp:extent cx="648335" cy="9569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335" cy="956945"/>
                          </a:xfrm>
                          <a:prstGeom prst="rect">
                            <a:avLst/>
                          </a:prstGeom>
                          <a:noFill/>
                          <a:ln>
                            <a:noFill/>
                          </a:ln>
                        </pic:spPr>
                      </pic:pic>
                    </a:graphicData>
                  </a:graphic>
                </wp:inline>
              </w:drawing>
            </w:r>
          </w:p>
        </w:tc>
        <w:tc>
          <w:tcPr>
            <w:tcW w:w="7938" w:type="dxa"/>
          </w:tcPr>
          <w:p w:rsidR="000826A5" w:rsidRPr="00B253B1" w:rsidRDefault="00B253B1" w:rsidP="00482251">
            <w:pPr>
              <w:tabs>
                <w:tab w:val="left" w:pos="1335"/>
                <w:tab w:val="left" w:pos="5940"/>
              </w:tabs>
              <w:spacing w:line="276" w:lineRule="auto"/>
              <w:rPr>
                <w:rFonts w:ascii="Arial" w:hAnsi="Arial" w:cs="Arial"/>
                <w:color w:val="000000"/>
                <w:sz w:val="20"/>
                <w:szCs w:val="20"/>
                <w:lang w:val="en-GB"/>
              </w:rPr>
            </w:pPr>
            <w:r w:rsidRPr="00B253B1">
              <w:rPr>
                <w:rFonts w:ascii="Arial" w:hAnsi="Arial" w:cs="Arial"/>
                <w:b/>
                <w:color w:val="000000"/>
                <w:sz w:val="20"/>
                <w:szCs w:val="20"/>
                <w:lang w:val="en-GB"/>
              </w:rPr>
              <w:t xml:space="preserve">Guillaume </w:t>
            </w:r>
            <w:proofErr w:type="spellStart"/>
            <w:r w:rsidRPr="00B253B1">
              <w:rPr>
                <w:rFonts w:ascii="Arial" w:hAnsi="Arial" w:cs="Arial"/>
                <w:b/>
                <w:color w:val="000000"/>
                <w:sz w:val="20"/>
                <w:szCs w:val="20"/>
                <w:lang w:val="en-GB"/>
              </w:rPr>
              <w:t>Lafont</w:t>
            </w:r>
            <w:proofErr w:type="spellEnd"/>
            <w:r w:rsidR="007605BD" w:rsidRPr="00B253B1">
              <w:rPr>
                <w:rFonts w:ascii="Arial" w:hAnsi="Arial" w:cs="Arial"/>
                <w:b/>
                <w:color w:val="000000"/>
                <w:sz w:val="20"/>
                <w:szCs w:val="20"/>
                <w:lang w:val="en-GB"/>
              </w:rPr>
              <w:t xml:space="preserve">, </w:t>
            </w:r>
            <w:r w:rsidRPr="00B253B1">
              <w:rPr>
                <w:rFonts w:ascii="Arial" w:hAnsi="Arial" w:cs="Arial"/>
                <w:color w:val="000000"/>
                <w:sz w:val="20"/>
                <w:szCs w:val="20"/>
                <w:lang w:val="en-GB"/>
              </w:rPr>
              <w:t>Man</w:t>
            </w:r>
            <w:r>
              <w:rPr>
                <w:rFonts w:ascii="Arial" w:hAnsi="Arial" w:cs="Arial"/>
                <w:color w:val="000000"/>
                <w:sz w:val="20"/>
                <w:szCs w:val="20"/>
                <w:lang w:val="en-GB"/>
              </w:rPr>
              <w:t>a</w:t>
            </w:r>
            <w:r w:rsidRPr="00B253B1">
              <w:rPr>
                <w:rFonts w:ascii="Arial" w:hAnsi="Arial" w:cs="Arial"/>
                <w:color w:val="000000"/>
                <w:sz w:val="20"/>
                <w:szCs w:val="20"/>
                <w:lang w:val="en-GB"/>
              </w:rPr>
              <w:t xml:space="preserve">ging </w:t>
            </w:r>
            <w:r w:rsidR="00482251" w:rsidRPr="00B253B1">
              <w:rPr>
                <w:rFonts w:ascii="Arial" w:hAnsi="Arial" w:cs="Arial"/>
                <w:color w:val="000000"/>
                <w:sz w:val="20"/>
                <w:szCs w:val="20"/>
                <w:lang w:val="en-GB"/>
              </w:rPr>
              <w:t>Director</w:t>
            </w:r>
            <w:r w:rsidRPr="00B253B1">
              <w:rPr>
                <w:rFonts w:ascii="Arial" w:hAnsi="Arial" w:cs="Arial"/>
                <w:color w:val="000000"/>
                <w:sz w:val="20"/>
                <w:szCs w:val="20"/>
                <w:lang w:val="en-GB"/>
              </w:rPr>
              <w:t xml:space="preserve"> with</w:t>
            </w:r>
            <w:r w:rsidR="00482251" w:rsidRPr="00B253B1">
              <w:rPr>
                <w:rFonts w:ascii="Arial" w:hAnsi="Arial" w:cs="Arial"/>
                <w:color w:val="000000"/>
                <w:sz w:val="20"/>
                <w:szCs w:val="20"/>
                <w:lang w:val="en-GB"/>
              </w:rPr>
              <w:t xml:space="preserve"> </w:t>
            </w:r>
            <w:proofErr w:type="spellStart"/>
            <w:r w:rsidRPr="00B253B1">
              <w:rPr>
                <w:rFonts w:ascii="Arial" w:hAnsi="Arial" w:cs="Arial"/>
                <w:color w:val="000000"/>
                <w:sz w:val="20"/>
                <w:szCs w:val="20"/>
                <w:lang w:val="en-GB"/>
              </w:rPr>
              <w:t>Piller</w:t>
            </w:r>
            <w:proofErr w:type="spellEnd"/>
            <w:r w:rsidRPr="00B253B1">
              <w:rPr>
                <w:rFonts w:ascii="Arial" w:hAnsi="Arial" w:cs="Arial"/>
                <w:color w:val="000000"/>
                <w:sz w:val="20"/>
                <w:szCs w:val="20"/>
                <w:lang w:val="en-GB"/>
              </w:rPr>
              <w:t xml:space="preserve"> Power Systems</w:t>
            </w:r>
            <w:r w:rsidR="000826A5" w:rsidRPr="00B253B1">
              <w:rPr>
                <w:rFonts w:ascii="Arial" w:hAnsi="Arial" w:cs="Arial"/>
                <w:color w:val="000000"/>
                <w:sz w:val="20"/>
                <w:szCs w:val="20"/>
                <w:lang w:val="en-GB"/>
              </w:rPr>
              <w:t>:</w:t>
            </w:r>
          </w:p>
          <w:p w:rsidR="00482251" w:rsidRPr="00340BD9" w:rsidRDefault="000826A5" w:rsidP="00B253B1">
            <w:pPr>
              <w:tabs>
                <w:tab w:val="left" w:pos="1335"/>
                <w:tab w:val="left" w:pos="5940"/>
              </w:tabs>
              <w:spacing w:line="276" w:lineRule="auto"/>
              <w:rPr>
                <w:rFonts w:ascii="Arial" w:hAnsi="Arial" w:cs="Arial"/>
                <w:i/>
                <w:color w:val="000000"/>
                <w:sz w:val="20"/>
                <w:szCs w:val="20"/>
                <w:lang w:val="en-US"/>
              </w:rPr>
            </w:pPr>
            <w:r w:rsidRPr="00340BD9">
              <w:rPr>
                <w:rFonts w:ascii="Arial" w:hAnsi="Arial" w:cs="Arial"/>
                <w:i/>
                <w:color w:val="000000"/>
                <w:sz w:val="20"/>
                <w:szCs w:val="20"/>
                <w:lang w:val="en-US"/>
              </w:rPr>
              <w:t>“</w:t>
            </w:r>
            <w:r w:rsidR="00B253B1">
              <w:rPr>
                <w:rFonts w:ascii="Arial" w:hAnsi="Arial" w:cs="Arial"/>
                <w:i/>
                <w:color w:val="000000"/>
                <w:sz w:val="20"/>
                <w:szCs w:val="20"/>
                <w:lang w:val="en-US"/>
              </w:rPr>
              <w:t xml:space="preserve">We are very happy, that we exhibited in this trade show. We have been warmly welcomed and we </w:t>
            </w:r>
            <w:r w:rsidR="00B253B1" w:rsidRPr="00B253B1">
              <w:rPr>
                <w:rFonts w:ascii="Arial" w:hAnsi="Arial" w:cs="Arial"/>
                <w:i/>
                <w:color w:val="000000"/>
                <w:sz w:val="20"/>
                <w:szCs w:val="20"/>
                <w:lang w:val="en-US"/>
              </w:rPr>
              <w:t>put high hopes</w:t>
            </w:r>
            <w:r w:rsidR="00B253B1">
              <w:rPr>
                <w:rFonts w:ascii="Arial" w:hAnsi="Arial" w:cs="Arial"/>
                <w:i/>
                <w:color w:val="000000"/>
                <w:sz w:val="20"/>
                <w:szCs w:val="20"/>
                <w:lang w:val="en-US"/>
              </w:rPr>
              <w:t xml:space="preserve"> in the Algerian market</w:t>
            </w:r>
            <w:r w:rsidR="00482251">
              <w:rPr>
                <w:rFonts w:ascii="Arial" w:hAnsi="Arial" w:cs="Arial"/>
                <w:i/>
                <w:color w:val="000000"/>
                <w:sz w:val="20"/>
                <w:szCs w:val="20"/>
                <w:lang w:val="en-US"/>
              </w:rPr>
              <w:t>.”</w:t>
            </w:r>
          </w:p>
          <w:p w:rsidR="000826A5" w:rsidRPr="00340BD9" w:rsidRDefault="000826A5" w:rsidP="00BC1C2D">
            <w:pPr>
              <w:tabs>
                <w:tab w:val="left" w:pos="1335"/>
                <w:tab w:val="left" w:pos="5940"/>
              </w:tabs>
              <w:spacing w:line="276" w:lineRule="auto"/>
              <w:rPr>
                <w:rFonts w:ascii="Arial" w:hAnsi="Arial" w:cs="Arial"/>
                <w:b/>
                <w:i/>
                <w:color w:val="000000"/>
                <w:sz w:val="20"/>
                <w:szCs w:val="20"/>
                <w:lang w:val="en-US"/>
              </w:rPr>
            </w:pPr>
          </w:p>
        </w:tc>
      </w:tr>
      <w:tr w:rsidR="000826A5" w:rsidRPr="002A446D" w:rsidTr="00267149">
        <w:tc>
          <w:tcPr>
            <w:tcW w:w="1242" w:type="dxa"/>
          </w:tcPr>
          <w:p w:rsidR="000826A5" w:rsidRPr="00340BD9" w:rsidRDefault="000826A5" w:rsidP="00BC1C2D">
            <w:pPr>
              <w:tabs>
                <w:tab w:val="left" w:pos="1335"/>
                <w:tab w:val="left" w:pos="5940"/>
              </w:tabs>
              <w:spacing w:line="276" w:lineRule="auto"/>
              <w:ind w:right="2689"/>
              <w:jc w:val="both"/>
              <w:rPr>
                <w:noProof/>
                <w:lang w:val="en-US"/>
              </w:rPr>
            </w:pPr>
          </w:p>
        </w:tc>
        <w:tc>
          <w:tcPr>
            <w:tcW w:w="7938" w:type="dxa"/>
          </w:tcPr>
          <w:p w:rsidR="000826A5" w:rsidRPr="00340BD9" w:rsidRDefault="000826A5" w:rsidP="00BC1C2D">
            <w:pPr>
              <w:tabs>
                <w:tab w:val="left" w:pos="1335"/>
                <w:tab w:val="left" w:pos="5940"/>
              </w:tabs>
              <w:spacing w:line="276" w:lineRule="auto"/>
              <w:rPr>
                <w:rFonts w:ascii="Arial" w:hAnsi="Arial" w:cs="Arial"/>
                <w:b/>
                <w:color w:val="000000"/>
                <w:sz w:val="20"/>
                <w:szCs w:val="20"/>
                <w:lang w:val="en-US"/>
              </w:rPr>
            </w:pPr>
          </w:p>
        </w:tc>
      </w:tr>
      <w:tr w:rsidR="000826A5" w:rsidRPr="00581EA6" w:rsidTr="00267149">
        <w:tc>
          <w:tcPr>
            <w:tcW w:w="1242" w:type="dxa"/>
          </w:tcPr>
          <w:p w:rsidR="000826A5" w:rsidRPr="00340BD9" w:rsidRDefault="00947B77" w:rsidP="00BC1C2D">
            <w:pPr>
              <w:tabs>
                <w:tab w:val="left" w:pos="1335"/>
                <w:tab w:val="left" w:pos="5940"/>
              </w:tabs>
              <w:spacing w:line="276" w:lineRule="auto"/>
              <w:ind w:right="2689"/>
              <w:jc w:val="both"/>
              <w:rPr>
                <w:noProof/>
                <w:lang w:val="en-US"/>
              </w:rPr>
            </w:pPr>
            <w:r>
              <w:object w:dxaOrig="1665" w:dyaOrig="2055">
                <v:shape id="_x0000_i1027" type="#_x0000_t75" style="width:51.35pt;height:63.25pt" o:ole="">
                  <v:imagedata r:id="rId19" o:title=""/>
                </v:shape>
                <o:OLEObject Type="Embed" ProgID="PBrush" ShapeID="_x0000_i1027" DrawAspect="Content" ObjectID="_1402213854" r:id="rId20"/>
              </w:object>
            </w:r>
          </w:p>
        </w:tc>
        <w:tc>
          <w:tcPr>
            <w:tcW w:w="7938" w:type="dxa"/>
          </w:tcPr>
          <w:p w:rsidR="00947B77" w:rsidRPr="00947B77" w:rsidRDefault="00947B77" w:rsidP="00315077">
            <w:pPr>
              <w:tabs>
                <w:tab w:val="left" w:pos="1335"/>
                <w:tab w:val="left" w:pos="5940"/>
              </w:tabs>
              <w:spacing w:line="276" w:lineRule="auto"/>
              <w:rPr>
                <w:rFonts w:ascii="Arial" w:hAnsi="Arial" w:cs="Arial"/>
                <w:b/>
                <w:color w:val="000000"/>
                <w:sz w:val="20"/>
                <w:szCs w:val="20"/>
                <w:lang w:val="en-GB"/>
              </w:rPr>
            </w:pPr>
            <w:r w:rsidRPr="00947B77">
              <w:rPr>
                <w:rFonts w:ascii="Arial" w:hAnsi="Arial" w:cs="Arial"/>
                <w:b/>
                <w:color w:val="000000"/>
                <w:sz w:val="20"/>
                <w:szCs w:val="20"/>
                <w:lang w:val="en-GB"/>
              </w:rPr>
              <w:t xml:space="preserve">Nicolas Perl, </w:t>
            </w:r>
            <w:r w:rsidR="00BE22D0">
              <w:rPr>
                <w:rFonts w:ascii="Arial" w:hAnsi="Arial" w:cs="Arial"/>
                <w:color w:val="000000"/>
                <w:sz w:val="20"/>
                <w:szCs w:val="20"/>
                <w:lang w:val="en-GB"/>
              </w:rPr>
              <w:t>Managing Director with</w:t>
            </w:r>
            <w:r w:rsidRPr="00947B77">
              <w:rPr>
                <w:rFonts w:ascii="Arial" w:hAnsi="Arial" w:cs="Arial"/>
                <w:color w:val="000000"/>
                <w:sz w:val="20"/>
                <w:szCs w:val="20"/>
                <w:lang w:val="en-GB"/>
              </w:rPr>
              <w:t xml:space="preserve"> Centrotherm:</w:t>
            </w:r>
          </w:p>
          <w:p w:rsidR="00263950" w:rsidRPr="00340BD9" w:rsidRDefault="00263950" w:rsidP="00581EA6">
            <w:pPr>
              <w:tabs>
                <w:tab w:val="left" w:pos="1335"/>
                <w:tab w:val="left" w:pos="5940"/>
              </w:tabs>
              <w:spacing w:line="276" w:lineRule="auto"/>
              <w:rPr>
                <w:rFonts w:ascii="Arial" w:hAnsi="Arial" w:cs="Arial"/>
                <w:b/>
                <w:color w:val="000000"/>
                <w:sz w:val="20"/>
                <w:szCs w:val="20"/>
                <w:lang w:val="en-US"/>
              </w:rPr>
            </w:pPr>
            <w:r w:rsidRPr="00340BD9">
              <w:rPr>
                <w:rFonts w:ascii="Arial" w:hAnsi="Arial" w:cs="Arial"/>
                <w:i/>
                <w:color w:val="000000"/>
                <w:sz w:val="20"/>
                <w:szCs w:val="20"/>
                <w:lang w:val="en-US"/>
              </w:rPr>
              <w:t>“</w:t>
            </w:r>
            <w:r w:rsidR="00947B77">
              <w:rPr>
                <w:rFonts w:ascii="Arial" w:hAnsi="Arial" w:cs="Arial"/>
                <w:i/>
                <w:color w:val="000000"/>
                <w:sz w:val="20"/>
                <w:szCs w:val="20"/>
                <w:lang w:val="en-US"/>
              </w:rPr>
              <w:t xml:space="preserve">Together with </w:t>
            </w:r>
            <w:proofErr w:type="spellStart"/>
            <w:r w:rsidR="00947B77">
              <w:rPr>
                <w:rFonts w:ascii="Arial" w:hAnsi="Arial" w:cs="Arial"/>
                <w:i/>
                <w:color w:val="000000"/>
                <w:sz w:val="20"/>
                <w:szCs w:val="20"/>
                <w:lang w:val="en-US"/>
              </w:rPr>
              <w:t>Rouiba</w:t>
            </w:r>
            <w:proofErr w:type="spellEnd"/>
            <w:r w:rsidR="00947B77">
              <w:rPr>
                <w:rFonts w:ascii="Arial" w:hAnsi="Arial" w:cs="Arial"/>
                <w:i/>
                <w:color w:val="000000"/>
                <w:sz w:val="20"/>
                <w:szCs w:val="20"/>
                <w:lang w:val="en-US"/>
              </w:rPr>
              <w:t xml:space="preserve"> lighting we are engaged in a project of a fully-integrated factory, which produces at a first step </w:t>
            </w:r>
            <w:r w:rsidR="00947B77" w:rsidRPr="00947B77">
              <w:rPr>
                <w:rFonts w:ascii="Arial" w:hAnsi="Arial" w:cs="Arial"/>
                <w:i/>
                <w:color w:val="000000"/>
                <w:sz w:val="20"/>
                <w:szCs w:val="20"/>
                <w:lang w:val="en-US"/>
              </w:rPr>
              <w:t>crystalline silicon ingots</w:t>
            </w:r>
            <w:r w:rsidR="00947B77">
              <w:rPr>
                <w:rFonts w:ascii="Arial" w:hAnsi="Arial" w:cs="Arial"/>
                <w:i/>
                <w:color w:val="000000"/>
                <w:sz w:val="20"/>
                <w:szCs w:val="20"/>
                <w:lang w:val="en-US"/>
              </w:rPr>
              <w:t xml:space="preserve">, </w:t>
            </w:r>
            <w:r w:rsidR="00947B77" w:rsidRPr="00947B77">
              <w:rPr>
                <w:rFonts w:ascii="Arial" w:hAnsi="Arial" w:cs="Arial"/>
                <w:i/>
                <w:color w:val="000000"/>
                <w:sz w:val="20"/>
                <w:szCs w:val="20"/>
                <w:lang w:val="en-US"/>
              </w:rPr>
              <w:t xml:space="preserve">thereafter </w:t>
            </w:r>
            <w:r w:rsidR="00947B77">
              <w:rPr>
                <w:rFonts w:ascii="Arial" w:hAnsi="Arial" w:cs="Arial"/>
                <w:i/>
                <w:color w:val="000000"/>
                <w:sz w:val="20"/>
                <w:szCs w:val="20"/>
                <w:lang w:val="en-US"/>
              </w:rPr>
              <w:t xml:space="preserve">solar cells and finally solar modules. The production capacity of this factory will be </w:t>
            </w:r>
            <w:r w:rsidR="00BE22D0">
              <w:rPr>
                <w:rFonts w:ascii="Arial" w:hAnsi="Arial" w:cs="Arial"/>
                <w:i/>
                <w:color w:val="000000"/>
                <w:sz w:val="20"/>
                <w:szCs w:val="20"/>
                <w:lang w:val="en-US"/>
              </w:rPr>
              <w:t>116 megawatts. This underlines the importance of this project</w:t>
            </w:r>
            <w:r w:rsidR="00581EA6">
              <w:rPr>
                <w:rFonts w:ascii="Arial" w:hAnsi="Arial" w:cs="Arial"/>
                <w:i/>
                <w:color w:val="000000"/>
                <w:sz w:val="20"/>
                <w:szCs w:val="20"/>
                <w:lang w:val="en-US"/>
              </w:rPr>
              <w:t>! Last year we signed the contract amounting 260 million Euros.</w:t>
            </w:r>
            <w:r w:rsidR="00947B77">
              <w:rPr>
                <w:rFonts w:ascii="Arial" w:hAnsi="Arial" w:cs="Arial"/>
                <w:i/>
                <w:color w:val="000000"/>
                <w:sz w:val="20"/>
                <w:szCs w:val="20"/>
                <w:lang w:val="en-US"/>
              </w:rPr>
              <w:t>”</w:t>
            </w:r>
          </w:p>
        </w:tc>
      </w:tr>
      <w:tr w:rsidR="00263950" w:rsidRPr="00581EA6" w:rsidTr="00267149">
        <w:tc>
          <w:tcPr>
            <w:tcW w:w="1242" w:type="dxa"/>
          </w:tcPr>
          <w:p w:rsidR="00263950" w:rsidRPr="00340BD9" w:rsidRDefault="00263950" w:rsidP="00BC1C2D">
            <w:pPr>
              <w:tabs>
                <w:tab w:val="left" w:pos="1335"/>
                <w:tab w:val="left" w:pos="5940"/>
              </w:tabs>
              <w:spacing w:line="276" w:lineRule="auto"/>
              <w:ind w:right="2689"/>
              <w:jc w:val="both"/>
              <w:rPr>
                <w:noProof/>
                <w:lang w:val="en-US"/>
              </w:rPr>
            </w:pPr>
          </w:p>
        </w:tc>
        <w:tc>
          <w:tcPr>
            <w:tcW w:w="7938" w:type="dxa"/>
          </w:tcPr>
          <w:p w:rsidR="00263950" w:rsidRPr="00340BD9" w:rsidRDefault="00263950" w:rsidP="00BC1C2D">
            <w:pPr>
              <w:tabs>
                <w:tab w:val="left" w:pos="1335"/>
                <w:tab w:val="left" w:pos="5940"/>
              </w:tabs>
              <w:spacing w:line="276" w:lineRule="auto"/>
              <w:rPr>
                <w:rFonts w:ascii="Arial" w:hAnsi="Arial" w:cs="Arial"/>
                <w:b/>
                <w:color w:val="000000"/>
                <w:sz w:val="20"/>
                <w:szCs w:val="20"/>
                <w:lang w:val="en-US"/>
              </w:rPr>
            </w:pPr>
          </w:p>
        </w:tc>
      </w:tr>
      <w:tr w:rsidR="00263950" w:rsidRPr="002A446D" w:rsidTr="00267149">
        <w:tc>
          <w:tcPr>
            <w:tcW w:w="1242" w:type="dxa"/>
          </w:tcPr>
          <w:p w:rsidR="00263950" w:rsidRPr="00340BD9" w:rsidRDefault="00263950" w:rsidP="00BC1C2D">
            <w:pPr>
              <w:tabs>
                <w:tab w:val="left" w:pos="1335"/>
                <w:tab w:val="left" w:pos="5940"/>
              </w:tabs>
              <w:spacing w:line="276" w:lineRule="auto"/>
              <w:ind w:right="2689"/>
              <w:jc w:val="both"/>
              <w:rPr>
                <w:noProof/>
                <w:lang w:val="en-US"/>
              </w:rPr>
            </w:pPr>
          </w:p>
        </w:tc>
        <w:tc>
          <w:tcPr>
            <w:tcW w:w="7938" w:type="dxa"/>
          </w:tcPr>
          <w:p w:rsidR="00263950" w:rsidRPr="00340BD9" w:rsidRDefault="00BC1C2D" w:rsidP="007605BD">
            <w:pPr>
              <w:tabs>
                <w:tab w:val="left" w:pos="1335"/>
                <w:tab w:val="left" w:pos="5940"/>
              </w:tabs>
              <w:spacing w:line="276" w:lineRule="auto"/>
              <w:jc w:val="center"/>
              <w:rPr>
                <w:rFonts w:ascii="Arial" w:hAnsi="Arial" w:cs="Arial"/>
                <w:b/>
                <w:color w:val="000000"/>
                <w:sz w:val="20"/>
                <w:szCs w:val="20"/>
                <w:lang w:val="en-US"/>
              </w:rPr>
            </w:pPr>
            <w:r>
              <w:rPr>
                <w:rFonts w:ascii="Arial" w:hAnsi="Arial" w:cs="Arial"/>
                <w:b/>
                <w:color w:val="000000"/>
                <w:sz w:val="20"/>
                <w:szCs w:val="20"/>
                <w:lang w:val="en-US"/>
              </w:rPr>
              <w:t>See</w:t>
            </w:r>
            <w:r w:rsidR="00263950" w:rsidRPr="00340BD9">
              <w:rPr>
                <w:rFonts w:ascii="Arial" w:hAnsi="Arial" w:cs="Arial"/>
                <w:b/>
                <w:color w:val="000000"/>
                <w:sz w:val="20"/>
                <w:szCs w:val="20"/>
                <w:lang w:val="en-US"/>
              </w:rPr>
              <w:t xml:space="preserve"> all testimonials</w:t>
            </w:r>
            <w:r>
              <w:rPr>
                <w:rFonts w:ascii="Arial" w:hAnsi="Arial" w:cs="Arial"/>
                <w:b/>
                <w:color w:val="000000"/>
                <w:sz w:val="20"/>
                <w:szCs w:val="20"/>
                <w:lang w:val="en-US"/>
              </w:rPr>
              <w:t>:</w:t>
            </w:r>
            <w:r w:rsidR="00263950" w:rsidRPr="00340BD9">
              <w:rPr>
                <w:rFonts w:ascii="Arial" w:hAnsi="Arial" w:cs="Arial"/>
                <w:b/>
                <w:color w:val="000000"/>
                <w:sz w:val="20"/>
                <w:szCs w:val="20"/>
                <w:lang w:val="en-US"/>
              </w:rPr>
              <w:t xml:space="preserve"> </w:t>
            </w:r>
            <w:r w:rsidR="002A446D">
              <w:fldChar w:fldCharType="begin"/>
            </w:r>
            <w:r w:rsidR="002A446D" w:rsidRPr="002A446D">
              <w:rPr>
                <w:lang w:val="en-GB"/>
              </w:rPr>
              <w:instrText xml:space="preserve"> HYPERLINK "http://www.electro-automation.info/uploads/media/electro2012_daily.pdf" </w:instrText>
            </w:r>
            <w:r w:rsidR="002A446D">
              <w:fldChar w:fldCharType="separate"/>
            </w:r>
            <w:r w:rsidR="007605BD">
              <w:rPr>
                <w:rStyle w:val="Hyperlink"/>
                <w:rFonts w:ascii="Arial" w:hAnsi="Arial" w:cs="Arial"/>
                <w:b/>
                <w:sz w:val="20"/>
                <w:szCs w:val="20"/>
                <w:lang w:val="en-US"/>
              </w:rPr>
              <w:t>www.electro-automation.info</w:t>
            </w:r>
            <w:r w:rsidR="002A446D">
              <w:rPr>
                <w:rStyle w:val="Hyperlink"/>
                <w:rFonts w:ascii="Arial" w:hAnsi="Arial" w:cs="Arial"/>
                <w:b/>
                <w:sz w:val="20"/>
                <w:szCs w:val="20"/>
                <w:lang w:val="en-US"/>
              </w:rPr>
              <w:fldChar w:fldCharType="end"/>
            </w:r>
          </w:p>
        </w:tc>
      </w:tr>
    </w:tbl>
    <w:p w:rsidR="001E58C7" w:rsidRDefault="001E58C7" w:rsidP="00BC1C2D">
      <w:pPr>
        <w:spacing w:line="276" w:lineRule="auto"/>
        <w:ind w:right="-90"/>
        <w:rPr>
          <w:rFonts w:ascii="Arial" w:hAnsi="Arial" w:cs="Arial"/>
          <w:b/>
          <w:lang w:val="en-US"/>
        </w:rPr>
      </w:pPr>
    </w:p>
    <w:p w:rsidR="00D8324A" w:rsidRDefault="00D8324A" w:rsidP="00D8324A">
      <w:pPr>
        <w:tabs>
          <w:tab w:val="left" w:pos="1335"/>
          <w:tab w:val="left" w:pos="5940"/>
        </w:tabs>
        <w:spacing w:line="276" w:lineRule="auto"/>
        <w:jc w:val="both"/>
        <w:rPr>
          <w:rFonts w:ascii="Arial" w:hAnsi="Arial" w:cs="Arial"/>
          <w:b/>
          <w:color w:val="000000"/>
          <w:sz w:val="20"/>
          <w:szCs w:val="20"/>
          <w:lang w:val="en-US"/>
        </w:rPr>
      </w:pPr>
    </w:p>
    <w:p w:rsidR="00D8324A" w:rsidRDefault="00D8324A" w:rsidP="00D8324A">
      <w:pPr>
        <w:tabs>
          <w:tab w:val="left" w:pos="1335"/>
          <w:tab w:val="left" w:pos="5940"/>
        </w:tabs>
        <w:spacing w:line="276" w:lineRule="auto"/>
        <w:jc w:val="both"/>
        <w:rPr>
          <w:rFonts w:ascii="Arial" w:hAnsi="Arial" w:cs="Arial"/>
          <w:b/>
          <w:color w:val="000000"/>
          <w:sz w:val="20"/>
          <w:szCs w:val="20"/>
          <w:lang w:val="en-US"/>
        </w:rPr>
      </w:pPr>
    </w:p>
    <w:p w:rsidR="00D8324A" w:rsidRPr="00D8324A" w:rsidRDefault="00D8324A" w:rsidP="00D8324A">
      <w:pPr>
        <w:tabs>
          <w:tab w:val="left" w:pos="1335"/>
          <w:tab w:val="left" w:pos="5940"/>
        </w:tabs>
        <w:spacing w:line="276" w:lineRule="auto"/>
        <w:jc w:val="both"/>
        <w:rPr>
          <w:rFonts w:ascii="Arial" w:hAnsi="Arial" w:cs="Arial"/>
          <w:b/>
          <w:color w:val="000000"/>
          <w:lang w:val="en-US"/>
        </w:rPr>
      </w:pPr>
      <w:r w:rsidRPr="00D8324A">
        <w:rPr>
          <w:rFonts w:ascii="Arial" w:hAnsi="Arial" w:cs="Arial"/>
          <w:b/>
          <w:color w:val="000000"/>
          <w:lang w:val="en-US"/>
        </w:rPr>
        <w:lastRenderedPageBreak/>
        <w:t>Online Market Place</w:t>
      </w:r>
    </w:p>
    <w:p w:rsidR="00D8324A" w:rsidRPr="00D8324A" w:rsidRDefault="00D8324A" w:rsidP="00D8324A">
      <w:pPr>
        <w:tabs>
          <w:tab w:val="left" w:pos="1335"/>
          <w:tab w:val="left" w:pos="5940"/>
        </w:tabs>
        <w:spacing w:line="276" w:lineRule="auto"/>
        <w:jc w:val="both"/>
        <w:rPr>
          <w:rFonts w:ascii="Arial" w:hAnsi="Arial" w:cs="Arial"/>
          <w:color w:val="000000"/>
          <w:sz w:val="20"/>
          <w:szCs w:val="20"/>
          <w:lang w:val="en-US"/>
        </w:rPr>
      </w:pPr>
    </w:p>
    <w:p w:rsidR="00D8324A" w:rsidRDefault="00D8324A" w:rsidP="00D8324A">
      <w:pPr>
        <w:tabs>
          <w:tab w:val="left" w:pos="1335"/>
          <w:tab w:val="left" w:pos="5940"/>
        </w:tabs>
        <w:spacing w:line="276" w:lineRule="auto"/>
        <w:jc w:val="both"/>
        <w:rPr>
          <w:rFonts w:ascii="Arial" w:hAnsi="Arial" w:cs="Arial"/>
          <w:color w:val="000000"/>
          <w:sz w:val="20"/>
          <w:szCs w:val="20"/>
          <w:lang w:val="en-US"/>
        </w:rPr>
      </w:pPr>
      <w:r w:rsidRPr="00D8324A">
        <w:rPr>
          <w:rFonts w:ascii="Arial" w:hAnsi="Arial" w:cs="Arial"/>
          <w:color w:val="000000"/>
          <w:sz w:val="20"/>
          <w:szCs w:val="20"/>
          <w:lang w:val="en-US"/>
        </w:rPr>
        <w:t xml:space="preserve">For the first time in Algeria, an Online Market Place has been established for an international exhibition. The electro, automation &amp; energy interactive online community allows exhibitors and visitors to connect before, during and after the event. </w:t>
      </w:r>
      <w:r w:rsidR="002A446D">
        <w:fldChar w:fldCharType="begin"/>
      </w:r>
      <w:r w:rsidR="002A446D" w:rsidRPr="002A446D">
        <w:rPr>
          <w:lang w:val="en-GB"/>
        </w:rPr>
        <w:instrText xml:space="preserve"> HYPERLINK "http://www.visit.electro-automation.info" </w:instrText>
      </w:r>
      <w:r w:rsidR="002A446D">
        <w:fldChar w:fldCharType="separate"/>
      </w:r>
      <w:r w:rsidRPr="00267A66">
        <w:rPr>
          <w:rStyle w:val="Hyperlink"/>
          <w:rFonts w:ascii="Arial" w:hAnsi="Arial" w:cs="Arial"/>
          <w:sz w:val="20"/>
          <w:szCs w:val="20"/>
          <w:lang w:val="en-US"/>
        </w:rPr>
        <w:t>www.visit.electro-automation.info</w:t>
      </w:r>
      <w:r w:rsidR="002A446D">
        <w:rPr>
          <w:rStyle w:val="Hyperlink"/>
          <w:rFonts w:ascii="Arial" w:hAnsi="Arial" w:cs="Arial"/>
          <w:sz w:val="20"/>
          <w:szCs w:val="20"/>
          <w:lang w:val="en-US"/>
        </w:rPr>
        <w:fldChar w:fldCharType="end"/>
      </w:r>
      <w:r>
        <w:rPr>
          <w:rFonts w:ascii="Arial" w:hAnsi="Arial" w:cs="Arial"/>
          <w:color w:val="000000"/>
          <w:sz w:val="20"/>
          <w:szCs w:val="20"/>
          <w:lang w:val="en-US"/>
        </w:rPr>
        <w:t xml:space="preserve"> </w:t>
      </w:r>
      <w:r w:rsidR="00BE22D0">
        <w:rPr>
          <w:rFonts w:ascii="Arial" w:hAnsi="Arial" w:cs="Arial"/>
          <w:color w:val="000000"/>
          <w:sz w:val="20"/>
          <w:szCs w:val="20"/>
          <w:lang w:val="en-US"/>
        </w:rPr>
        <w:t>.</w:t>
      </w:r>
    </w:p>
    <w:p w:rsidR="00D8324A" w:rsidRDefault="00D8324A" w:rsidP="00BC1C2D">
      <w:pPr>
        <w:tabs>
          <w:tab w:val="left" w:pos="1335"/>
          <w:tab w:val="left" w:pos="5940"/>
        </w:tabs>
        <w:spacing w:line="276" w:lineRule="auto"/>
        <w:jc w:val="both"/>
        <w:rPr>
          <w:rFonts w:ascii="Arial" w:hAnsi="Arial" w:cs="Arial"/>
          <w:color w:val="000000"/>
          <w:sz w:val="20"/>
          <w:szCs w:val="20"/>
          <w:lang w:val="en-US"/>
        </w:rPr>
      </w:pPr>
    </w:p>
    <w:p w:rsidR="00D8324A" w:rsidRDefault="00D8324A" w:rsidP="00BC1C2D">
      <w:pPr>
        <w:tabs>
          <w:tab w:val="left" w:pos="1335"/>
          <w:tab w:val="left" w:pos="5940"/>
        </w:tabs>
        <w:spacing w:line="276" w:lineRule="auto"/>
        <w:jc w:val="both"/>
        <w:rPr>
          <w:rFonts w:ascii="Arial" w:hAnsi="Arial" w:cs="Arial"/>
          <w:color w:val="000000"/>
          <w:sz w:val="20"/>
          <w:szCs w:val="20"/>
          <w:lang w:val="en-US"/>
        </w:rPr>
      </w:pPr>
    </w:p>
    <w:p w:rsidR="00D8324A" w:rsidRPr="00340BD9" w:rsidRDefault="00D8324A" w:rsidP="00D8324A">
      <w:pPr>
        <w:tabs>
          <w:tab w:val="left" w:pos="1335"/>
          <w:tab w:val="left" w:pos="5940"/>
        </w:tabs>
        <w:spacing w:line="276" w:lineRule="auto"/>
        <w:jc w:val="both"/>
        <w:rPr>
          <w:rFonts w:ascii="Arial" w:hAnsi="Arial" w:cs="Arial"/>
          <w:b/>
          <w:color w:val="000000"/>
          <w:lang w:val="en-US"/>
        </w:rPr>
      </w:pPr>
      <w:r w:rsidRPr="00340BD9">
        <w:rPr>
          <w:rFonts w:ascii="Arial" w:hAnsi="Arial" w:cs="Arial"/>
          <w:b/>
          <w:color w:val="000000"/>
          <w:lang w:val="en-US"/>
        </w:rPr>
        <w:t xml:space="preserve">Evaluation of the visitor statistics of </w:t>
      </w:r>
      <w:r w:rsidRPr="00737D15">
        <w:rPr>
          <w:rFonts w:ascii="Arial" w:hAnsi="Arial" w:cs="Arial"/>
          <w:b/>
          <w:color w:val="000000"/>
          <w:lang w:val="en-US"/>
        </w:rPr>
        <w:t xml:space="preserve">electro, automation &amp; energy </w:t>
      </w:r>
      <w:r>
        <w:rPr>
          <w:rFonts w:ascii="Arial" w:hAnsi="Arial" w:cs="Arial"/>
          <w:b/>
          <w:color w:val="000000"/>
          <w:lang w:val="en-US"/>
        </w:rPr>
        <w:t>2012</w:t>
      </w:r>
    </w:p>
    <w:p w:rsidR="00D8324A" w:rsidRPr="00340BD9" w:rsidRDefault="00D8324A" w:rsidP="00D8324A">
      <w:pPr>
        <w:tabs>
          <w:tab w:val="left" w:pos="1335"/>
          <w:tab w:val="left" w:pos="5940"/>
        </w:tabs>
        <w:spacing w:line="276" w:lineRule="auto"/>
        <w:jc w:val="both"/>
        <w:rPr>
          <w:rFonts w:ascii="Arial" w:hAnsi="Arial" w:cs="Arial"/>
          <w:b/>
          <w:color w:val="000000"/>
          <w:lang w:val="en-US"/>
        </w:rPr>
      </w:pPr>
    </w:p>
    <w:p w:rsidR="00D8324A" w:rsidRDefault="00D8324A" w:rsidP="00BC1C2D">
      <w:pPr>
        <w:tabs>
          <w:tab w:val="left" w:pos="1335"/>
          <w:tab w:val="left" w:pos="5940"/>
        </w:tabs>
        <w:spacing w:line="276" w:lineRule="auto"/>
        <w:jc w:val="both"/>
        <w:rPr>
          <w:rFonts w:ascii="Arial" w:hAnsi="Arial" w:cs="Arial"/>
          <w:color w:val="000000"/>
          <w:sz w:val="20"/>
          <w:szCs w:val="20"/>
          <w:lang w:val="en-US"/>
        </w:rPr>
      </w:pPr>
    </w:p>
    <w:p w:rsidR="00531EF2" w:rsidRPr="00340BD9" w:rsidRDefault="008509D5" w:rsidP="00BC1C2D">
      <w:pPr>
        <w:tabs>
          <w:tab w:val="left" w:pos="1335"/>
          <w:tab w:val="left" w:pos="5940"/>
        </w:tabs>
        <w:spacing w:line="276" w:lineRule="auto"/>
        <w:jc w:val="both"/>
        <w:rPr>
          <w:rFonts w:ascii="Arial" w:hAnsi="Arial" w:cs="Arial"/>
          <w:color w:val="000000"/>
          <w:sz w:val="20"/>
          <w:szCs w:val="20"/>
          <w:lang w:val="en-US"/>
        </w:rPr>
      </w:pPr>
      <w:r w:rsidRPr="00340BD9">
        <w:rPr>
          <w:rFonts w:ascii="Arial" w:hAnsi="Arial" w:cs="Arial"/>
          <w:color w:val="000000"/>
          <w:sz w:val="20"/>
          <w:szCs w:val="20"/>
          <w:lang w:val="en-US"/>
        </w:rPr>
        <w:t xml:space="preserve">All </w:t>
      </w:r>
      <w:r w:rsidR="00737D15">
        <w:rPr>
          <w:rFonts w:ascii="Arial" w:hAnsi="Arial" w:cs="Arial"/>
          <w:color w:val="000000"/>
          <w:sz w:val="20"/>
          <w:szCs w:val="20"/>
          <w:lang w:val="en-US"/>
        </w:rPr>
        <w:t>1,9</w:t>
      </w:r>
      <w:r w:rsidR="000A39D7">
        <w:rPr>
          <w:rFonts w:ascii="Arial" w:hAnsi="Arial" w:cs="Arial"/>
          <w:color w:val="000000"/>
          <w:sz w:val="20"/>
          <w:szCs w:val="20"/>
          <w:lang w:val="en-US"/>
        </w:rPr>
        <w:t>4</w:t>
      </w:r>
      <w:r w:rsidR="00737D15">
        <w:rPr>
          <w:rFonts w:ascii="Arial" w:hAnsi="Arial" w:cs="Arial"/>
          <w:color w:val="000000"/>
          <w:sz w:val="20"/>
          <w:szCs w:val="20"/>
          <w:lang w:val="en-US"/>
        </w:rPr>
        <w:t>8</w:t>
      </w:r>
      <w:r w:rsidR="00531EF2" w:rsidRPr="00340BD9">
        <w:rPr>
          <w:rFonts w:ascii="Arial" w:hAnsi="Arial" w:cs="Arial"/>
          <w:color w:val="000000"/>
          <w:sz w:val="20"/>
          <w:szCs w:val="20"/>
          <w:lang w:val="en-US"/>
        </w:rPr>
        <w:t xml:space="preserve"> visitors were required to register and fill in a questionnaire. </w:t>
      </w:r>
    </w:p>
    <w:p w:rsidR="0013765C" w:rsidRPr="00340BD9" w:rsidRDefault="00531EF2" w:rsidP="00BC1C2D">
      <w:pPr>
        <w:tabs>
          <w:tab w:val="left" w:pos="1335"/>
          <w:tab w:val="left" w:pos="5940"/>
        </w:tabs>
        <w:spacing w:line="276" w:lineRule="auto"/>
        <w:jc w:val="both"/>
        <w:rPr>
          <w:rFonts w:ascii="Arial" w:hAnsi="Arial" w:cs="Arial"/>
          <w:color w:val="000000"/>
          <w:sz w:val="20"/>
          <w:szCs w:val="20"/>
          <w:lang w:val="en-US"/>
        </w:rPr>
      </w:pPr>
      <w:r w:rsidRPr="00340BD9">
        <w:rPr>
          <w:rFonts w:ascii="Arial" w:hAnsi="Arial" w:cs="Arial"/>
          <w:color w:val="000000"/>
          <w:sz w:val="20"/>
          <w:szCs w:val="20"/>
          <w:lang w:val="en-US"/>
        </w:rPr>
        <w:t>The following data is based on this survey, conducted by fairtrade.</w:t>
      </w:r>
    </w:p>
    <w:p w:rsidR="00BA629B" w:rsidRPr="00340BD9" w:rsidRDefault="00BA629B" w:rsidP="00BC1C2D">
      <w:pPr>
        <w:tabs>
          <w:tab w:val="left" w:pos="1335"/>
          <w:tab w:val="left" w:pos="5940"/>
        </w:tabs>
        <w:spacing w:line="276" w:lineRule="auto"/>
        <w:jc w:val="both"/>
        <w:rPr>
          <w:rFonts w:ascii="Arial" w:hAnsi="Arial" w:cs="Arial"/>
          <w:color w:val="000000"/>
          <w:sz w:val="20"/>
          <w:szCs w:val="20"/>
          <w:lang w:val="en-US"/>
        </w:rPr>
      </w:pPr>
    </w:p>
    <w:p w:rsidR="00BA472E" w:rsidRDefault="00BA472E" w:rsidP="00BC1C2D">
      <w:pPr>
        <w:tabs>
          <w:tab w:val="left" w:pos="1335"/>
          <w:tab w:val="left" w:pos="5940"/>
        </w:tabs>
        <w:spacing w:line="276" w:lineRule="auto"/>
        <w:jc w:val="both"/>
        <w:rPr>
          <w:rFonts w:ascii="Arial" w:hAnsi="Arial" w:cs="Arial"/>
          <w:b/>
          <w:color w:val="000000"/>
          <w:sz w:val="20"/>
          <w:szCs w:val="20"/>
          <w:lang w:val="en-US"/>
        </w:rPr>
      </w:pPr>
    </w:p>
    <w:p w:rsidR="00BA472E" w:rsidRDefault="00BA472E" w:rsidP="00BC1C2D">
      <w:pPr>
        <w:tabs>
          <w:tab w:val="left" w:pos="1335"/>
          <w:tab w:val="left" w:pos="5940"/>
        </w:tabs>
        <w:spacing w:line="276" w:lineRule="auto"/>
        <w:jc w:val="both"/>
        <w:rPr>
          <w:rFonts w:ascii="Arial" w:hAnsi="Arial" w:cs="Arial"/>
          <w:b/>
          <w:color w:val="000000"/>
          <w:sz w:val="20"/>
          <w:szCs w:val="20"/>
          <w:lang w:val="en-US"/>
        </w:rPr>
      </w:pPr>
      <w:r w:rsidRPr="00340BD9">
        <w:rPr>
          <w:rFonts w:ascii="Arial" w:hAnsi="Arial" w:cs="Arial"/>
          <w:b/>
          <w:color w:val="000000"/>
          <w:sz w:val="20"/>
          <w:szCs w:val="20"/>
          <w:lang w:val="en-US"/>
        </w:rPr>
        <w:t>Visitors by</w:t>
      </w:r>
      <w:r>
        <w:rPr>
          <w:rFonts w:ascii="Arial" w:hAnsi="Arial" w:cs="Arial"/>
          <w:b/>
          <w:color w:val="000000"/>
          <w:sz w:val="20"/>
          <w:szCs w:val="20"/>
          <w:lang w:val="en-US"/>
        </w:rPr>
        <w:t xml:space="preserve"> day:</w:t>
      </w:r>
    </w:p>
    <w:p w:rsidR="00BA472E" w:rsidRDefault="00BA472E" w:rsidP="00BC1C2D">
      <w:pPr>
        <w:tabs>
          <w:tab w:val="left" w:pos="1335"/>
          <w:tab w:val="left" w:pos="5940"/>
        </w:tabs>
        <w:spacing w:line="276" w:lineRule="auto"/>
        <w:jc w:val="both"/>
        <w:rPr>
          <w:rFonts w:ascii="Arial" w:hAnsi="Arial" w:cs="Arial"/>
          <w:b/>
          <w:color w:val="000000"/>
          <w:sz w:val="20"/>
          <w:szCs w:val="20"/>
          <w:lang w:val="en-US"/>
        </w:rPr>
      </w:pPr>
    </w:p>
    <w:p w:rsidR="00BA472E" w:rsidRDefault="00737D15" w:rsidP="00BC1C2D">
      <w:pPr>
        <w:tabs>
          <w:tab w:val="left" w:pos="1335"/>
          <w:tab w:val="left" w:pos="5940"/>
        </w:tabs>
        <w:spacing w:line="276" w:lineRule="auto"/>
        <w:jc w:val="both"/>
        <w:rPr>
          <w:rFonts w:ascii="Arial" w:hAnsi="Arial" w:cs="Arial"/>
          <w:b/>
          <w:color w:val="000000"/>
          <w:sz w:val="20"/>
          <w:szCs w:val="20"/>
          <w:lang w:val="en-US"/>
        </w:rPr>
      </w:pPr>
      <w:r>
        <w:rPr>
          <w:noProof/>
          <w:lang w:val="en-GB" w:eastAsia="en-GB"/>
        </w:rPr>
        <w:drawing>
          <wp:inline distT="0" distB="0" distL="0" distR="0" wp14:anchorId="48C47CB2" wp14:editId="0E30D985">
            <wp:extent cx="5752214" cy="4104167"/>
            <wp:effectExtent l="0" t="0" r="1270" b="0"/>
            <wp:docPr id="25" name="Diagram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A472E" w:rsidRDefault="00BA472E" w:rsidP="00BC1C2D">
      <w:pPr>
        <w:tabs>
          <w:tab w:val="left" w:pos="1335"/>
          <w:tab w:val="left" w:pos="5940"/>
        </w:tabs>
        <w:spacing w:line="276" w:lineRule="auto"/>
        <w:jc w:val="right"/>
        <w:rPr>
          <w:rFonts w:ascii="Arial" w:hAnsi="Arial" w:cs="Arial"/>
          <w:color w:val="000000"/>
          <w:sz w:val="16"/>
          <w:szCs w:val="20"/>
          <w:lang w:val="en-US"/>
        </w:rPr>
      </w:pPr>
    </w:p>
    <w:p w:rsidR="00BC1C2D" w:rsidRDefault="00BC1C2D" w:rsidP="00BC1C2D">
      <w:pPr>
        <w:spacing w:after="200" w:line="276" w:lineRule="auto"/>
        <w:rPr>
          <w:rFonts w:ascii="Arial" w:hAnsi="Arial" w:cs="Arial"/>
          <w:b/>
          <w:color w:val="000000"/>
          <w:sz w:val="20"/>
          <w:szCs w:val="20"/>
          <w:lang w:val="en-US"/>
        </w:rPr>
      </w:pPr>
      <w:r>
        <w:rPr>
          <w:rFonts w:ascii="Arial" w:hAnsi="Arial" w:cs="Arial"/>
          <w:b/>
          <w:color w:val="000000"/>
          <w:sz w:val="20"/>
          <w:szCs w:val="20"/>
          <w:lang w:val="en-US"/>
        </w:rPr>
        <w:br w:type="page"/>
      </w:r>
    </w:p>
    <w:p w:rsidR="00BC1C2D" w:rsidRPr="00BC1C2D" w:rsidRDefault="00BC1C2D" w:rsidP="00BC1C2D">
      <w:pPr>
        <w:tabs>
          <w:tab w:val="left" w:pos="1335"/>
          <w:tab w:val="left" w:pos="5940"/>
        </w:tabs>
        <w:spacing w:line="276" w:lineRule="auto"/>
        <w:jc w:val="both"/>
        <w:rPr>
          <w:rFonts w:ascii="Arial" w:hAnsi="Arial" w:cs="Arial"/>
          <w:b/>
          <w:color w:val="000000"/>
          <w:szCs w:val="20"/>
          <w:lang w:val="en-US"/>
        </w:rPr>
      </w:pPr>
      <w:r w:rsidRPr="00BC1C2D">
        <w:rPr>
          <w:rFonts w:ascii="Arial" w:hAnsi="Arial" w:cs="Arial"/>
          <w:b/>
          <w:color w:val="000000"/>
          <w:szCs w:val="20"/>
          <w:lang w:val="en-US"/>
        </w:rPr>
        <w:lastRenderedPageBreak/>
        <w:t xml:space="preserve">The </w:t>
      </w:r>
      <w:proofErr w:type="spellStart"/>
      <w:r w:rsidRPr="00BC1C2D">
        <w:rPr>
          <w:rFonts w:ascii="Arial" w:hAnsi="Arial" w:cs="Arial"/>
          <w:b/>
          <w:color w:val="000000"/>
          <w:szCs w:val="20"/>
          <w:lang w:val="en-US"/>
        </w:rPr>
        <w:t>organi</w:t>
      </w:r>
      <w:r w:rsidR="001E58C7">
        <w:rPr>
          <w:rFonts w:ascii="Arial" w:hAnsi="Arial" w:cs="Arial"/>
          <w:b/>
          <w:color w:val="000000"/>
          <w:szCs w:val="20"/>
          <w:lang w:val="en-US"/>
        </w:rPr>
        <w:t>s</w:t>
      </w:r>
      <w:r w:rsidRPr="00BC1C2D">
        <w:rPr>
          <w:rFonts w:ascii="Arial" w:hAnsi="Arial" w:cs="Arial"/>
          <w:b/>
          <w:color w:val="000000"/>
          <w:szCs w:val="20"/>
          <w:lang w:val="en-US"/>
        </w:rPr>
        <w:t>ers</w:t>
      </w:r>
      <w:proofErr w:type="spellEnd"/>
      <w:r w:rsidRPr="00BC1C2D">
        <w:rPr>
          <w:rFonts w:ascii="Arial" w:hAnsi="Arial" w:cs="Arial"/>
          <w:b/>
          <w:color w:val="000000"/>
          <w:szCs w:val="20"/>
          <w:lang w:val="en-US"/>
        </w:rPr>
        <w:t xml:space="preserve"> succeeded </w:t>
      </w:r>
      <w:r w:rsidR="002E2240">
        <w:rPr>
          <w:rFonts w:ascii="Arial" w:hAnsi="Arial" w:cs="Arial"/>
          <w:b/>
          <w:color w:val="000000"/>
          <w:szCs w:val="20"/>
          <w:lang w:val="en-US"/>
        </w:rPr>
        <w:t>to attract 1869 Algerian and 79 international visitor</w:t>
      </w:r>
      <w:r w:rsidR="00737D15">
        <w:rPr>
          <w:rFonts w:ascii="Arial" w:hAnsi="Arial" w:cs="Arial"/>
          <w:b/>
          <w:color w:val="000000"/>
          <w:szCs w:val="20"/>
          <w:lang w:val="en-US"/>
        </w:rPr>
        <w:t>s!</w:t>
      </w:r>
    </w:p>
    <w:p w:rsidR="00BC1C2D" w:rsidRPr="003B2C50" w:rsidRDefault="00BC1C2D" w:rsidP="00BC1C2D">
      <w:pPr>
        <w:tabs>
          <w:tab w:val="left" w:pos="1335"/>
          <w:tab w:val="left" w:pos="5940"/>
        </w:tabs>
        <w:spacing w:line="276" w:lineRule="auto"/>
        <w:jc w:val="both"/>
        <w:rPr>
          <w:rFonts w:ascii="Arial" w:hAnsi="Arial" w:cs="Arial"/>
          <w:color w:val="000000"/>
          <w:sz w:val="20"/>
          <w:szCs w:val="20"/>
          <w:lang w:val="en-US"/>
        </w:rPr>
      </w:pPr>
    </w:p>
    <w:p w:rsidR="003B2C50" w:rsidRDefault="003B2C50" w:rsidP="00BC1C2D">
      <w:pPr>
        <w:tabs>
          <w:tab w:val="left" w:pos="1335"/>
          <w:tab w:val="left" w:pos="5940"/>
        </w:tabs>
        <w:spacing w:line="276" w:lineRule="auto"/>
        <w:jc w:val="both"/>
        <w:rPr>
          <w:rFonts w:ascii="Arial" w:hAnsi="Arial" w:cs="Arial"/>
          <w:b/>
          <w:color w:val="000000"/>
          <w:sz w:val="20"/>
          <w:szCs w:val="20"/>
          <w:lang w:val="en-US"/>
        </w:rPr>
      </w:pPr>
    </w:p>
    <w:p w:rsidR="009A442D" w:rsidRDefault="00BA629B" w:rsidP="00BC1C2D">
      <w:pPr>
        <w:tabs>
          <w:tab w:val="left" w:pos="1335"/>
          <w:tab w:val="left" w:pos="5940"/>
        </w:tabs>
        <w:spacing w:line="276" w:lineRule="auto"/>
        <w:jc w:val="both"/>
        <w:rPr>
          <w:rFonts w:ascii="Arial" w:hAnsi="Arial" w:cs="Arial"/>
          <w:b/>
          <w:color w:val="000000"/>
          <w:sz w:val="20"/>
          <w:szCs w:val="20"/>
          <w:lang w:val="en-US"/>
        </w:rPr>
      </w:pPr>
      <w:r w:rsidRPr="00340BD9">
        <w:rPr>
          <w:rFonts w:ascii="Arial" w:hAnsi="Arial" w:cs="Arial"/>
          <w:b/>
          <w:color w:val="000000"/>
          <w:sz w:val="20"/>
          <w:szCs w:val="20"/>
          <w:lang w:val="en-US"/>
        </w:rPr>
        <w:t>Visi</w:t>
      </w:r>
      <w:r w:rsidR="00737D15">
        <w:rPr>
          <w:rFonts w:ascii="Arial" w:hAnsi="Arial" w:cs="Arial"/>
          <w:b/>
          <w:color w:val="000000"/>
          <w:sz w:val="20"/>
          <w:szCs w:val="20"/>
          <w:lang w:val="en-US"/>
        </w:rPr>
        <w:t>tors by country (</w:t>
      </w:r>
      <w:r w:rsidR="001E58C7">
        <w:rPr>
          <w:rFonts w:ascii="Arial" w:hAnsi="Arial" w:cs="Arial"/>
          <w:b/>
          <w:color w:val="000000"/>
          <w:sz w:val="20"/>
          <w:szCs w:val="20"/>
          <w:lang w:val="en-US"/>
        </w:rPr>
        <w:t xml:space="preserve">without </w:t>
      </w:r>
      <w:r w:rsidR="00737D15">
        <w:rPr>
          <w:rFonts w:ascii="Arial" w:hAnsi="Arial" w:cs="Arial"/>
          <w:b/>
          <w:color w:val="000000"/>
          <w:sz w:val="20"/>
          <w:szCs w:val="20"/>
          <w:lang w:val="en-US"/>
        </w:rPr>
        <w:t>Algeria</w:t>
      </w:r>
      <w:r w:rsidRPr="00340BD9">
        <w:rPr>
          <w:rFonts w:ascii="Arial" w:hAnsi="Arial" w:cs="Arial"/>
          <w:b/>
          <w:color w:val="000000"/>
          <w:sz w:val="20"/>
          <w:szCs w:val="20"/>
          <w:lang w:val="en-US"/>
        </w:rPr>
        <w:t>):</w:t>
      </w:r>
    </w:p>
    <w:p w:rsidR="00BA629B" w:rsidRPr="00340BD9" w:rsidRDefault="00737D15" w:rsidP="00BC1C2D">
      <w:pPr>
        <w:tabs>
          <w:tab w:val="left" w:pos="1335"/>
          <w:tab w:val="left" w:pos="5940"/>
        </w:tabs>
        <w:spacing w:line="276" w:lineRule="auto"/>
        <w:jc w:val="center"/>
        <w:rPr>
          <w:rFonts w:ascii="Arial" w:hAnsi="Arial" w:cs="Arial"/>
          <w:color w:val="000000"/>
          <w:sz w:val="20"/>
          <w:szCs w:val="20"/>
          <w:lang w:val="en-US"/>
        </w:rPr>
      </w:pPr>
      <w:r>
        <w:rPr>
          <w:noProof/>
          <w:lang w:val="en-GB" w:eastAsia="en-GB"/>
        </w:rPr>
        <w:drawing>
          <wp:inline distT="0" distB="0" distL="0" distR="0" wp14:anchorId="0C621E63" wp14:editId="0F3EAF14">
            <wp:extent cx="6783573" cy="3976576"/>
            <wp:effectExtent l="0" t="0" r="0" b="5080"/>
            <wp:docPr id="26" name="Diagram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4EA6" w:rsidRDefault="008E4EA6" w:rsidP="00BC1C2D">
      <w:pPr>
        <w:tabs>
          <w:tab w:val="left" w:pos="1335"/>
          <w:tab w:val="left" w:pos="5940"/>
        </w:tabs>
        <w:spacing w:line="276" w:lineRule="auto"/>
        <w:jc w:val="right"/>
        <w:rPr>
          <w:rFonts w:ascii="Arial" w:hAnsi="Arial" w:cs="Arial"/>
          <w:color w:val="000000"/>
          <w:sz w:val="16"/>
          <w:szCs w:val="20"/>
          <w:lang w:val="en-US"/>
        </w:rPr>
      </w:pPr>
    </w:p>
    <w:p w:rsidR="00BA472E" w:rsidRDefault="00BA472E" w:rsidP="00BC1C2D">
      <w:pPr>
        <w:tabs>
          <w:tab w:val="left" w:pos="1335"/>
          <w:tab w:val="left" w:pos="5940"/>
        </w:tabs>
        <w:spacing w:line="276" w:lineRule="auto"/>
        <w:rPr>
          <w:rFonts w:ascii="Arial" w:hAnsi="Arial" w:cs="Arial"/>
          <w:b/>
          <w:color w:val="000000"/>
          <w:sz w:val="20"/>
          <w:szCs w:val="20"/>
          <w:lang w:val="en-US"/>
        </w:rPr>
      </w:pPr>
    </w:p>
    <w:p w:rsidR="00F22713" w:rsidRDefault="00F22713" w:rsidP="00BC1C2D">
      <w:pPr>
        <w:tabs>
          <w:tab w:val="left" w:pos="1335"/>
          <w:tab w:val="left" w:pos="5940"/>
        </w:tabs>
        <w:spacing w:line="276" w:lineRule="auto"/>
        <w:rPr>
          <w:rFonts w:ascii="Arial" w:hAnsi="Arial" w:cs="Arial"/>
          <w:b/>
          <w:color w:val="000000"/>
          <w:sz w:val="20"/>
          <w:szCs w:val="20"/>
          <w:lang w:val="en-US"/>
        </w:rPr>
      </w:pPr>
      <w:r w:rsidRPr="00340BD9">
        <w:rPr>
          <w:rFonts w:ascii="Arial" w:hAnsi="Arial" w:cs="Arial"/>
          <w:b/>
          <w:color w:val="000000"/>
          <w:sz w:val="20"/>
          <w:szCs w:val="20"/>
          <w:lang w:val="en-US"/>
        </w:rPr>
        <w:t>Visitors by size of company</w:t>
      </w:r>
      <w:r w:rsidR="00BC1C2D">
        <w:rPr>
          <w:rFonts w:ascii="Arial" w:hAnsi="Arial" w:cs="Arial"/>
          <w:b/>
          <w:color w:val="000000"/>
          <w:sz w:val="20"/>
          <w:szCs w:val="20"/>
          <w:lang w:val="en-US"/>
        </w:rPr>
        <w:t xml:space="preserve"> (number employees)</w:t>
      </w:r>
      <w:r w:rsidRPr="00340BD9">
        <w:rPr>
          <w:rFonts w:ascii="Arial" w:hAnsi="Arial" w:cs="Arial"/>
          <w:b/>
          <w:color w:val="000000"/>
          <w:sz w:val="20"/>
          <w:szCs w:val="20"/>
          <w:lang w:val="en-US"/>
        </w:rPr>
        <w:t>:</w:t>
      </w:r>
    </w:p>
    <w:p w:rsidR="00737D15" w:rsidRDefault="00737D15" w:rsidP="00BC1C2D">
      <w:pPr>
        <w:tabs>
          <w:tab w:val="left" w:pos="1335"/>
          <w:tab w:val="left" w:pos="5940"/>
        </w:tabs>
        <w:spacing w:line="276" w:lineRule="auto"/>
        <w:rPr>
          <w:rFonts w:ascii="Arial" w:hAnsi="Arial" w:cs="Arial"/>
          <w:b/>
          <w:color w:val="000000"/>
          <w:sz w:val="20"/>
          <w:szCs w:val="20"/>
          <w:lang w:val="en-US"/>
        </w:rPr>
      </w:pPr>
    </w:p>
    <w:p w:rsidR="00737D15" w:rsidRDefault="00737D15" w:rsidP="00BC1C2D">
      <w:pPr>
        <w:tabs>
          <w:tab w:val="left" w:pos="1335"/>
          <w:tab w:val="left" w:pos="5940"/>
        </w:tabs>
        <w:spacing w:line="276" w:lineRule="auto"/>
        <w:rPr>
          <w:rFonts w:ascii="Arial" w:hAnsi="Arial" w:cs="Arial"/>
          <w:b/>
          <w:color w:val="000000"/>
          <w:sz w:val="20"/>
          <w:szCs w:val="20"/>
          <w:lang w:val="en-US"/>
        </w:rPr>
      </w:pPr>
      <w:r>
        <w:rPr>
          <w:noProof/>
          <w:lang w:val="en-GB" w:eastAsia="en-GB"/>
        </w:rPr>
        <w:drawing>
          <wp:inline distT="0" distB="0" distL="0" distR="0" wp14:anchorId="1024A5CA" wp14:editId="32D3F034">
            <wp:extent cx="5943600" cy="1913861"/>
            <wp:effectExtent l="0" t="0" r="0" b="0"/>
            <wp:docPr id="27" name="Diagram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C1F2B" w:rsidRDefault="000C1F2B">
      <w:pPr>
        <w:spacing w:after="200" w:line="276" w:lineRule="auto"/>
        <w:rPr>
          <w:rFonts w:ascii="Arial" w:hAnsi="Arial" w:cs="Arial"/>
          <w:b/>
          <w:color w:val="000000"/>
          <w:sz w:val="20"/>
          <w:szCs w:val="20"/>
          <w:lang w:val="en-US"/>
        </w:rPr>
      </w:pPr>
      <w:r>
        <w:rPr>
          <w:rFonts w:ascii="Arial" w:hAnsi="Arial" w:cs="Arial"/>
          <w:b/>
          <w:color w:val="000000"/>
          <w:sz w:val="20"/>
          <w:szCs w:val="20"/>
          <w:lang w:val="en-US"/>
        </w:rPr>
        <w:br w:type="page"/>
      </w:r>
    </w:p>
    <w:p w:rsidR="008E4EA6" w:rsidRDefault="008E4EA6" w:rsidP="00BC1C2D">
      <w:pPr>
        <w:tabs>
          <w:tab w:val="left" w:pos="1335"/>
          <w:tab w:val="left" w:pos="5940"/>
        </w:tabs>
        <w:spacing w:line="276" w:lineRule="auto"/>
        <w:rPr>
          <w:rFonts w:ascii="Arial" w:hAnsi="Arial" w:cs="Arial"/>
          <w:b/>
          <w:color w:val="000000"/>
          <w:sz w:val="20"/>
          <w:szCs w:val="20"/>
          <w:lang w:val="en-US"/>
        </w:rPr>
      </w:pPr>
      <w:r w:rsidRPr="00340BD9">
        <w:rPr>
          <w:rFonts w:ascii="Arial" w:hAnsi="Arial" w:cs="Arial"/>
          <w:b/>
          <w:color w:val="000000"/>
          <w:sz w:val="20"/>
          <w:szCs w:val="20"/>
          <w:lang w:val="en-US"/>
        </w:rPr>
        <w:lastRenderedPageBreak/>
        <w:t>Visitors by function:</w:t>
      </w:r>
    </w:p>
    <w:p w:rsidR="00BC1C2D" w:rsidRDefault="00BC1C2D" w:rsidP="00BC1C2D">
      <w:pPr>
        <w:tabs>
          <w:tab w:val="left" w:pos="1335"/>
          <w:tab w:val="left" w:pos="5940"/>
        </w:tabs>
        <w:spacing w:line="276" w:lineRule="auto"/>
        <w:rPr>
          <w:rFonts w:ascii="Arial" w:hAnsi="Arial" w:cs="Arial"/>
          <w:b/>
          <w:color w:val="000000"/>
          <w:sz w:val="20"/>
          <w:szCs w:val="20"/>
          <w:lang w:val="en-US"/>
        </w:rPr>
      </w:pPr>
    </w:p>
    <w:p w:rsidR="00BC1C2D" w:rsidRDefault="00D8324A" w:rsidP="000D293B">
      <w:pPr>
        <w:tabs>
          <w:tab w:val="left" w:pos="1335"/>
          <w:tab w:val="left" w:pos="5940"/>
        </w:tabs>
        <w:spacing w:line="276" w:lineRule="auto"/>
        <w:jc w:val="both"/>
        <w:rPr>
          <w:rFonts w:ascii="Arial" w:hAnsi="Arial" w:cs="Arial"/>
          <w:sz w:val="20"/>
          <w:szCs w:val="20"/>
          <w:lang w:val="en-US"/>
        </w:rPr>
      </w:pPr>
      <w:r w:rsidRPr="000C1F2B">
        <w:rPr>
          <w:rFonts w:ascii="Arial" w:hAnsi="Arial" w:cs="Arial"/>
          <w:sz w:val="20"/>
          <w:szCs w:val="20"/>
          <w:lang w:val="en-US"/>
        </w:rPr>
        <w:t>56</w:t>
      </w:r>
      <w:r w:rsidR="00BC1C2D" w:rsidRPr="000C1F2B">
        <w:rPr>
          <w:rFonts w:ascii="Arial" w:hAnsi="Arial" w:cs="Arial"/>
          <w:sz w:val="20"/>
          <w:szCs w:val="20"/>
          <w:lang w:val="en-US"/>
        </w:rPr>
        <w:t xml:space="preserve">% of the visitors at </w:t>
      </w:r>
      <w:r w:rsidR="000C1F2B" w:rsidRPr="000C1F2B">
        <w:rPr>
          <w:rFonts w:ascii="Arial" w:hAnsi="Arial" w:cs="Arial"/>
          <w:sz w:val="20"/>
          <w:szCs w:val="20"/>
          <w:lang w:val="en-US"/>
        </w:rPr>
        <w:t>electro, automation &amp; energy</w:t>
      </w:r>
      <w:r w:rsidR="00BC1C2D" w:rsidRPr="000C1F2B">
        <w:rPr>
          <w:rFonts w:ascii="Arial" w:hAnsi="Arial" w:cs="Arial"/>
          <w:sz w:val="20"/>
          <w:szCs w:val="20"/>
          <w:lang w:val="en-US"/>
        </w:rPr>
        <w:t xml:space="preserve"> were </w:t>
      </w:r>
      <w:r w:rsidR="00BC1C2D" w:rsidRPr="000C1F2B">
        <w:rPr>
          <w:rFonts w:ascii="Arial" w:hAnsi="Arial" w:cs="Arial"/>
          <w:b/>
          <w:sz w:val="20"/>
          <w:szCs w:val="20"/>
          <w:lang w:val="en-US"/>
        </w:rPr>
        <w:t>decision-makers</w:t>
      </w:r>
      <w:r w:rsidR="00BC1C2D" w:rsidRPr="000C1F2B">
        <w:rPr>
          <w:rFonts w:ascii="Arial" w:hAnsi="Arial" w:cs="Arial"/>
          <w:sz w:val="20"/>
          <w:szCs w:val="20"/>
          <w:lang w:val="en-US"/>
        </w:rPr>
        <w:t>, managing directors (</w:t>
      </w:r>
      <w:r w:rsidR="000C1F2B">
        <w:rPr>
          <w:rFonts w:ascii="Arial" w:hAnsi="Arial" w:cs="Arial"/>
          <w:sz w:val="20"/>
          <w:szCs w:val="20"/>
          <w:lang w:val="en-US"/>
        </w:rPr>
        <w:t>23</w:t>
      </w:r>
      <w:r w:rsidR="00BC1C2D" w:rsidRPr="000C1F2B">
        <w:rPr>
          <w:rFonts w:ascii="Arial" w:hAnsi="Arial" w:cs="Arial"/>
          <w:sz w:val="20"/>
          <w:szCs w:val="20"/>
          <w:lang w:val="en-US"/>
        </w:rPr>
        <w:t>%), technical managers (</w:t>
      </w:r>
      <w:r w:rsidR="000C1F2B">
        <w:rPr>
          <w:rFonts w:ascii="Arial" w:hAnsi="Arial" w:cs="Arial"/>
          <w:sz w:val="20"/>
          <w:szCs w:val="20"/>
          <w:lang w:val="en-US"/>
        </w:rPr>
        <w:t>11</w:t>
      </w:r>
      <w:r w:rsidR="00BC1C2D" w:rsidRPr="000C1F2B">
        <w:rPr>
          <w:rFonts w:ascii="Arial" w:hAnsi="Arial" w:cs="Arial"/>
          <w:sz w:val="20"/>
          <w:szCs w:val="20"/>
          <w:lang w:val="en-US"/>
        </w:rPr>
        <w:t>%), project managers (</w:t>
      </w:r>
      <w:r w:rsidR="000C1F2B">
        <w:rPr>
          <w:rFonts w:ascii="Arial" w:hAnsi="Arial" w:cs="Arial"/>
          <w:sz w:val="20"/>
          <w:szCs w:val="20"/>
          <w:lang w:val="en-US"/>
        </w:rPr>
        <w:t>8</w:t>
      </w:r>
      <w:r w:rsidR="00BC1C2D" w:rsidRPr="000C1F2B">
        <w:rPr>
          <w:rFonts w:ascii="Arial" w:hAnsi="Arial" w:cs="Arial"/>
          <w:sz w:val="20"/>
          <w:szCs w:val="20"/>
          <w:lang w:val="en-US"/>
        </w:rPr>
        <w:t>%), s</w:t>
      </w:r>
      <w:r w:rsidR="000C1F2B">
        <w:rPr>
          <w:rFonts w:ascii="Arial" w:hAnsi="Arial" w:cs="Arial"/>
          <w:sz w:val="20"/>
          <w:szCs w:val="20"/>
          <w:lang w:val="en-US"/>
        </w:rPr>
        <w:t>ales and marketing directors (7%), purchasing managers (3</w:t>
      </w:r>
      <w:r w:rsidR="00BC1C2D" w:rsidRPr="000C1F2B">
        <w:rPr>
          <w:rFonts w:ascii="Arial" w:hAnsi="Arial" w:cs="Arial"/>
          <w:sz w:val="20"/>
          <w:szCs w:val="20"/>
          <w:lang w:val="en-US"/>
        </w:rPr>
        <w:t>%), finance managers (</w:t>
      </w:r>
      <w:r w:rsidR="000C1F2B">
        <w:rPr>
          <w:rFonts w:ascii="Arial" w:hAnsi="Arial" w:cs="Arial"/>
          <w:sz w:val="20"/>
          <w:szCs w:val="20"/>
          <w:lang w:val="en-US"/>
        </w:rPr>
        <w:t>2%), IT production managers (1</w:t>
      </w:r>
      <w:r w:rsidR="00BC1C2D" w:rsidRPr="000C1F2B">
        <w:rPr>
          <w:rFonts w:ascii="Arial" w:hAnsi="Arial" w:cs="Arial"/>
          <w:sz w:val="20"/>
          <w:szCs w:val="20"/>
          <w:lang w:val="en-US"/>
        </w:rPr>
        <w:t>%)</w:t>
      </w:r>
      <w:r w:rsidR="000C1F2B">
        <w:rPr>
          <w:rFonts w:ascii="Arial" w:hAnsi="Arial" w:cs="Arial"/>
          <w:sz w:val="20"/>
          <w:szCs w:val="20"/>
          <w:lang w:val="en-US"/>
        </w:rPr>
        <w:t xml:space="preserve"> and IT managers (1%). Another 14</w:t>
      </w:r>
      <w:r w:rsidR="00BC1C2D" w:rsidRPr="000C1F2B">
        <w:rPr>
          <w:rFonts w:ascii="Arial" w:hAnsi="Arial" w:cs="Arial"/>
          <w:sz w:val="20"/>
          <w:szCs w:val="20"/>
          <w:lang w:val="en-US"/>
        </w:rPr>
        <w:t>% were maintenance engineers.</w:t>
      </w:r>
    </w:p>
    <w:p w:rsidR="003B2C50" w:rsidRPr="003B2C50" w:rsidRDefault="001E58C7" w:rsidP="00BC1C2D">
      <w:pPr>
        <w:tabs>
          <w:tab w:val="left" w:pos="1335"/>
          <w:tab w:val="left" w:pos="5940"/>
        </w:tabs>
        <w:spacing w:line="276" w:lineRule="auto"/>
        <w:rPr>
          <w:rFonts w:ascii="Arial" w:hAnsi="Arial" w:cs="Arial"/>
          <w:sz w:val="20"/>
          <w:szCs w:val="20"/>
          <w:lang w:val="en-US"/>
        </w:rPr>
      </w:pPr>
      <w:r>
        <w:rPr>
          <w:noProof/>
          <w:lang w:val="en-GB" w:eastAsia="en-GB"/>
        </w:rPr>
        <w:drawing>
          <wp:inline distT="0" distB="0" distL="0" distR="0" wp14:anchorId="34B868A6" wp14:editId="2756988E">
            <wp:extent cx="6305107" cy="5624624"/>
            <wp:effectExtent l="0" t="0" r="635" b="0"/>
            <wp:docPr id="34" name="Diagram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3462C" w:rsidRPr="00F22713" w:rsidRDefault="0063462C" w:rsidP="00BC1C2D">
      <w:pPr>
        <w:tabs>
          <w:tab w:val="left" w:pos="1335"/>
          <w:tab w:val="left" w:pos="5940"/>
        </w:tabs>
        <w:spacing w:line="276" w:lineRule="auto"/>
        <w:jc w:val="center"/>
        <w:rPr>
          <w:rFonts w:ascii="Arial" w:hAnsi="Arial" w:cs="Arial"/>
          <w:b/>
          <w:color w:val="000000"/>
          <w:sz w:val="20"/>
          <w:szCs w:val="20"/>
          <w:lang w:val="en-US"/>
        </w:rPr>
      </w:pPr>
    </w:p>
    <w:p w:rsidR="001E58C7" w:rsidRDefault="001E58C7" w:rsidP="00BC1C2D">
      <w:pPr>
        <w:spacing w:after="200" w:line="276" w:lineRule="auto"/>
        <w:rPr>
          <w:rFonts w:ascii="Arial" w:hAnsi="Arial" w:cs="Arial"/>
          <w:b/>
          <w:color w:val="000000"/>
          <w:sz w:val="20"/>
          <w:szCs w:val="20"/>
          <w:lang w:val="en-US"/>
        </w:rPr>
      </w:pPr>
    </w:p>
    <w:p w:rsidR="001E58C7" w:rsidRDefault="001E58C7" w:rsidP="00BC1C2D">
      <w:pPr>
        <w:spacing w:after="200" w:line="276" w:lineRule="auto"/>
        <w:rPr>
          <w:rFonts w:ascii="Arial" w:hAnsi="Arial" w:cs="Arial"/>
          <w:b/>
          <w:color w:val="000000"/>
          <w:sz w:val="20"/>
          <w:szCs w:val="20"/>
          <w:lang w:val="en-US"/>
        </w:rPr>
      </w:pPr>
    </w:p>
    <w:p w:rsidR="000C1F2B" w:rsidRDefault="000C1F2B">
      <w:pPr>
        <w:spacing w:after="200" w:line="276" w:lineRule="auto"/>
        <w:rPr>
          <w:rFonts w:ascii="Arial" w:hAnsi="Arial" w:cs="Arial"/>
          <w:b/>
          <w:color w:val="000000"/>
          <w:sz w:val="20"/>
          <w:szCs w:val="20"/>
          <w:lang w:val="en-US"/>
        </w:rPr>
      </w:pPr>
      <w:r>
        <w:rPr>
          <w:rFonts w:ascii="Arial" w:hAnsi="Arial" w:cs="Arial"/>
          <w:b/>
          <w:color w:val="000000"/>
          <w:sz w:val="20"/>
          <w:szCs w:val="20"/>
          <w:lang w:val="en-US"/>
        </w:rPr>
        <w:br w:type="page"/>
      </w:r>
    </w:p>
    <w:p w:rsidR="000132B5" w:rsidRDefault="00BC1C2D" w:rsidP="00BC1C2D">
      <w:pPr>
        <w:tabs>
          <w:tab w:val="left" w:pos="1335"/>
          <w:tab w:val="left" w:pos="5940"/>
        </w:tabs>
        <w:spacing w:line="276" w:lineRule="auto"/>
        <w:rPr>
          <w:rFonts w:ascii="Arial" w:hAnsi="Arial" w:cs="Arial"/>
          <w:b/>
          <w:color w:val="000000"/>
          <w:sz w:val="20"/>
          <w:szCs w:val="20"/>
          <w:lang w:val="en-US"/>
        </w:rPr>
      </w:pPr>
      <w:r>
        <w:rPr>
          <w:rFonts w:ascii="Arial" w:hAnsi="Arial" w:cs="Arial"/>
          <w:b/>
          <w:color w:val="000000"/>
          <w:sz w:val="20"/>
          <w:szCs w:val="20"/>
          <w:lang w:val="en-US"/>
        </w:rPr>
        <w:lastRenderedPageBreak/>
        <w:t>V</w:t>
      </w:r>
      <w:r w:rsidR="000132B5" w:rsidRPr="00340BD9">
        <w:rPr>
          <w:rFonts w:ascii="Arial" w:hAnsi="Arial" w:cs="Arial"/>
          <w:b/>
          <w:color w:val="000000"/>
          <w:sz w:val="20"/>
          <w:szCs w:val="20"/>
          <w:lang w:val="en-US"/>
        </w:rPr>
        <w:t>isitors by sector of activity:</w:t>
      </w:r>
    </w:p>
    <w:p w:rsidR="008C6E7A" w:rsidRDefault="001E58C7" w:rsidP="00BC1C2D">
      <w:pPr>
        <w:tabs>
          <w:tab w:val="left" w:pos="1335"/>
          <w:tab w:val="left" w:pos="5940"/>
        </w:tabs>
        <w:spacing w:line="276" w:lineRule="auto"/>
        <w:rPr>
          <w:rFonts w:ascii="Arial" w:hAnsi="Arial" w:cs="Arial"/>
          <w:b/>
          <w:color w:val="000000"/>
          <w:sz w:val="20"/>
          <w:szCs w:val="20"/>
          <w:lang w:val="en-US"/>
        </w:rPr>
      </w:pPr>
      <w:r>
        <w:rPr>
          <w:noProof/>
          <w:lang w:val="en-GB" w:eastAsia="en-GB"/>
        </w:rPr>
        <w:drawing>
          <wp:inline distT="0" distB="0" distL="0" distR="0" wp14:anchorId="6ABC3541" wp14:editId="1B7DCAF7">
            <wp:extent cx="5837275" cy="7123814"/>
            <wp:effectExtent l="0" t="0" r="0" b="1270"/>
            <wp:docPr id="35" name="Diagramm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1F2B" w:rsidRDefault="000C1F2B">
      <w:pPr>
        <w:spacing w:after="200" w:line="276" w:lineRule="auto"/>
        <w:rPr>
          <w:rFonts w:ascii="Arial" w:hAnsi="Arial" w:cs="Arial"/>
          <w:b/>
          <w:lang w:val="en-US"/>
        </w:rPr>
      </w:pPr>
      <w:r>
        <w:rPr>
          <w:rFonts w:ascii="Arial" w:hAnsi="Arial" w:cs="Arial"/>
          <w:b/>
          <w:lang w:val="en-US"/>
        </w:rPr>
        <w:br w:type="page"/>
      </w:r>
    </w:p>
    <w:p w:rsidR="00D8324A" w:rsidRDefault="00D8324A" w:rsidP="00BC1C2D">
      <w:pPr>
        <w:spacing w:line="276" w:lineRule="auto"/>
        <w:rPr>
          <w:rFonts w:ascii="Arial" w:hAnsi="Arial" w:cs="Arial"/>
          <w:b/>
          <w:lang w:val="en-US"/>
        </w:rPr>
      </w:pPr>
    </w:p>
    <w:p w:rsidR="00476958" w:rsidRPr="00340BD9" w:rsidRDefault="00476958" w:rsidP="00BC1C2D">
      <w:pPr>
        <w:spacing w:line="276" w:lineRule="auto"/>
        <w:rPr>
          <w:rFonts w:ascii="Arial" w:hAnsi="Arial" w:cs="Arial"/>
          <w:b/>
          <w:lang w:val="en-US"/>
        </w:rPr>
      </w:pPr>
      <w:r w:rsidRPr="00340BD9">
        <w:rPr>
          <w:rFonts w:ascii="Arial" w:hAnsi="Arial" w:cs="Arial"/>
          <w:b/>
          <w:lang w:val="en-US"/>
        </w:rPr>
        <w:t>Evaluation</w:t>
      </w:r>
      <w:r w:rsidR="00267149" w:rsidRPr="00340BD9">
        <w:rPr>
          <w:rFonts w:ascii="Arial" w:hAnsi="Arial" w:cs="Arial"/>
          <w:b/>
          <w:lang w:val="en-US"/>
        </w:rPr>
        <w:t xml:space="preserve"> of the exhibitor survey of </w:t>
      </w:r>
      <w:r w:rsidR="00233125" w:rsidRPr="00737D15">
        <w:rPr>
          <w:rFonts w:ascii="Arial" w:hAnsi="Arial" w:cs="Arial"/>
          <w:b/>
          <w:color w:val="000000"/>
          <w:lang w:val="en-US"/>
        </w:rPr>
        <w:t xml:space="preserve">electro, automation &amp; energy </w:t>
      </w:r>
      <w:r w:rsidR="00233125">
        <w:rPr>
          <w:rFonts w:ascii="Arial" w:hAnsi="Arial" w:cs="Arial"/>
          <w:b/>
          <w:color w:val="000000"/>
          <w:lang w:val="en-US"/>
        </w:rPr>
        <w:t>2012</w:t>
      </w:r>
    </w:p>
    <w:p w:rsidR="00476958" w:rsidRPr="00340BD9" w:rsidRDefault="00476958" w:rsidP="00BC1C2D">
      <w:pPr>
        <w:spacing w:line="276" w:lineRule="auto"/>
        <w:rPr>
          <w:rFonts w:ascii="Arial" w:hAnsi="Arial" w:cs="Arial"/>
          <w:b/>
          <w:lang w:val="en-US"/>
        </w:rPr>
      </w:pPr>
    </w:p>
    <w:p w:rsidR="00476958" w:rsidRPr="00340BD9" w:rsidRDefault="00EB42FE" w:rsidP="00BC1C2D">
      <w:pPr>
        <w:spacing w:line="276" w:lineRule="auto"/>
        <w:rPr>
          <w:rFonts w:ascii="Arial" w:hAnsi="Arial" w:cs="Arial"/>
          <w:sz w:val="20"/>
          <w:szCs w:val="20"/>
          <w:lang w:val="en-US"/>
        </w:rPr>
      </w:pPr>
      <w:r w:rsidRPr="00340BD9">
        <w:rPr>
          <w:rFonts w:ascii="Arial" w:hAnsi="Arial" w:cs="Arial"/>
          <w:sz w:val="20"/>
          <w:szCs w:val="20"/>
          <w:lang w:val="en-US"/>
        </w:rPr>
        <w:t>Exhibitors</w:t>
      </w:r>
      <w:r w:rsidR="00476958" w:rsidRPr="00340BD9">
        <w:rPr>
          <w:rFonts w:ascii="Arial" w:hAnsi="Arial" w:cs="Arial"/>
          <w:sz w:val="20"/>
          <w:szCs w:val="20"/>
          <w:lang w:val="en-US"/>
        </w:rPr>
        <w:t xml:space="preserve"> were required to fill in a questionnaire on the last day of the event.</w:t>
      </w:r>
    </w:p>
    <w:p w:rsidR="00D756A7" w:rsidRPr="00340BD9" w:rsidRDefault="00476958" w:rsidP="00BC1C2D">
      <w:pPr>
        <w:spacing w:line="276" w:lineRule="auto"/>
        <w:rPr>
          <w:rFonts w:ascii="Arial" w:hAnsi="Arial" w:cs="Arial"/>
          <w:sz w:val="20"/>
          <w:szCs w:val="20"/>
          <w:lang w:val="en-US"/>
        </w:rPr>
      </w:pPr>
      <w:r w:rsidRPr="00340BD9">
        <w:rPr>
          <w:rFonts w:ascii="Arial" w:hAnsi="Arial" w:cs="Arial"/>
          <w:sz w:val="20"/>
          <w:szCs w:val="20"/>
          <w:lang w:val="en-US"/>
        </w:rPr>
        <w:t>The following evaluation is based on this survey.</w:t>
      </w:r>
    </w:p>
    <w:p w:rsidR="00FB4F50" w:rsidRPr="00340BD9" w:rsidRDefault="00FB4F50" w:rsidP="00BC1C2D">
      <w:pPr>
        <w:spacing w:line="276" w:lineRule="auto"/>
        <w:rPr>
          <w:rFonts w:ascii="Arial" w:hAnsi="Arial" w:cs="Arial"/>
          <w:b/>
          <w:sz w:val="20"/>
          <w:szCs w:val="20"/>
          <w:lang w:val="en-US"/>
        </w:rPr>
      </w:pPr>
    </w:p>
    <w:p w:rsidR="00F876D6" w:rsidRPr="00340BD9" w:rsidRDefault="00F876D6" w:rsidP="00BC1C2D">
      <w:pPr>
        <w:spacing w:line="276" w:lineRule="auto"/>
        <w:rPr>
          <w:rFonts w:ascii="Arial" w:hAnsi="Arial" w:cs="Arial"/>
          <w:b/>
          <w:sz w:val="20"/>
          <w:szCs w:val="20"/>
          <w:lang w:val="en-US"/>
        </w:rPr>
      </w:pPr>
      <w:r w:rsidRPr="00340BD9">
        <w:rPr>
          <w:rFonts w:ascii="Arial" w:hAnsi="Arial" w:cs="Arial"/>
          <w:b/>
          <w:sz w:val="20"/>
          <w:szCs w:val="20"/>
          <w:lang w:val="en-US"/>
        </w:rPr>
        <w:t>Achievement of</w:t>
      </w:r>
      <w:r w:rsidR="00263950" w:rsidRPr="00340BD9">
        <w:rPr>
          <w:rFonts w:ascii="Arial" w:hAnsi="Arial" w:cs="Arial"/>
          <w:b/>
          <w:sz w:val="20"/>
          <w:szCs w:val="20"/>
          <w:lang w:val="en-US"/>
        </w:rPr>
        <w:t xml:space="preserve"> main targets for participating</w:t>
      </w:r>
    </w:p>
    <w:p w:rsidR="00CD1504" w:rsidRPr="00340BD9" w:rsidRDefault="00CD1504" w:rsidP="00BC1C2D">
      <w:pPr>
        <w:spacing w:line="276" w:lineRule="auto"/>
        <w:rPr>
          <w:rFonts w:ascii="Arial" w:hAnsi="Arial" w:cs="Arial"/>
          <w:b/>
          <w:sz w:val="20"/>
          <w:szCs w:val="20"/>
          <w:lang w:val="en-US"/>
        </w:rPr>
      </w:pPr>
    </w:p>
    <w:p w:rsidR="00280820" w:rsidRDefault="004C0C75" w:rsidP="00BC1C2D">
      <w:pPr>
        <w:spacing w:line="276" w:lineRule="auto"/>
        <w:jc w:val="right"/>
        <w:rPr>
          <w:rFonts w:ascii="Arial" w:hAnsi="Arial" w:cs="Arial"/>
          <w:sz w:val="16"/>
          <w:szCs w:val="16"/>
          <w:lang w:val="en-US"/>
        </w:rPr>
      </w:pPr>
      <w:r>
        <w:rPr>
          <w:noProof/>
          <w:lang w:val="en-GB" w:eastAsia="en-GB"/>
        </w:rPr>
        <w:drawing>
          <wp:inline distT="0" distB="0" distL="0" distR="0" wp14:anchorId="60AB634F" wp14:editId="6AB5B5B9">
            <wp:extent cx="5762847" cy="3232297"/>
            <wp:effectExtent l="0" t="0" r="0" b="63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0820" w:rsidRDefault="00280820" w:rsidP="00BC1C2D">
      <w:pPr>
        <w:spacing w:line="276" w:lineRule="auto"/>
        <w:jc w:val="right"/>
        <w:rPr>
          <w:rFonts w:ascii="Arial" w:hAnsi="Arial" w:cs="Arial"/>
          <w:sz w:val="16"/>
          <w:szCs w:val="16"/>
          <w:lang w:val="en-US"/>
        </w:rPr>
      </w:pPr>
    </w:p>
    <w:p w:rsidR="00280820" w:rsidRDefault="00CD1504" w:rsidP="00BC1C2D">
      <w:pPr>
        <w:spacing w:line="276" w:lineRule="auto"/>
        <w:jc w:val="right"/>
        <w:rPr>
          <w:rFonts w:ascii="Arial" w:hAnsi="Arial" w:cs="Arial"/>
          <w:b/>
          <w:bCs/>
          <w:sz w:val="20"/>
          <w:szCs w:val="20"/>
          <w:lang w:val="en-US"/>
        </w:rPr>
      </w:pPr>
      <w:r w:rsidRPr="00340BD9">
        <w:rPr>
          <w:rFonts w:ascii="Arial" w:hAnsi="Arial" w:cs="Arial"/>
          <w:sz w:val="16"/>
          <w:szCs w:val="16"/>
          <w:lang w:val="en-US"/>
        </w:rPr>
        <w:t>(</w:t>
      </w:r>
      <w:r w:rsidR="00F876D6" w:rsidRPr="00340BD9">
        <w:rPr>
          <w:rFonts w:ascii="Arial" w:hAnsi="Arial" w:cs="Arial"/>
          <w:sz w:val="16"/>
          <w:szCs w:val="16"/>
          <w:lang w:val="en-US"/>
        </w:rPr>
        <w:t>multiple responses</w:t>
      </w:r>
      <w:r w:rsidR="00386A92" w:rsidRPr="00340BD9">
        <w:rPr>
          <w:rFonts w:ascii="Arial" w:hAnsi="Arial" w:cs="Arial"/>
          <w:sz w:val="16"/>
          <w:szCs w:val="16"/>
          <w:lang w:val="en-US"/>
        </w:rPr>
        <w:t xml:space="preserve"> possible</w:t>
      </w:r>
      <w:r w:rsidR="00263950" w:rsidRPr="00340BD9">
        <w:rPr>
          <w:rFonts w:ascii="Arial" w:hAnsi="Arial" w:cs="Arial"/>
          <w:sz w:val="16"/>
          <w:szCs w:val="16"/>
          <w:lang w:val="en-US"/>
        </w:rPr>
        <w:t>)</w:t>
      </w:r>
    </w:p>
    <w:p w:rsidR="00280820" w:rsidRDefault="00280820" w:rsidP="00BC1C2D">
      <w:pPr>
        <w:spacing w:line="276" w:lineRule="auto"/>
        <w:rPr>
          <w:rFonts w:ascii="Arial" w:hAnsi="Arial" w:cs="Arial"/>
          <w:b/>
          <w:bCs/>
          <w:sz w:val="20"/>
          <w:szCs w:val="20"/>
          <w:lang w:val="en-US"/>
        </w:rPr>
      </w:pPr>
    </w:p>
    <w:p w:rsidR="008E3C9B" w:rsidRPr="00340BD9" w:rsidRDefault="008E3C9B" w:rsidP="00BC1C2D">
      <w:pPr>
        <w:spacing w:line="276" w:lineRule="auto"/>
        <w:rPr>
          <w:rFonts w:ascii="Arial" w:hAnsi="Arial" w:cs="Arial"/>
          <w:b/>
          <w:bCs/>
          <w:sz w:val="20"/>
          <w:szCs w:val="20"/>
          <w:lang w:val="en-US"/>
        </w:rPr>
      </w:pPr>
      <w:r w:rsidRPr="00340BD9">
        <w:rPr>
          <w:rFonts w:ascii="Arial" w:hAnsi="Arial" w:cs="Arial"/>
          <w:b/>
          <w:bCs/>
          <w:sz w:val="20"/>
          <w:szCs w:val="20"/>
          <w:lang w:val="en-US"/>
        </w:rPr>
        <w:t xml:space="preserve">Would you recommend </w:t>
      </w:r>
      <w:r w:rsidR="00233125" w:rsidRPr="00233125">
        <w:rPr>
          <w:rFonts w:ascii="Arial" w:hAnsi="Arial" w:cs="Arial"/>
          <w:b/>
          <w:bCs/>
          <w:sz w:val="20"/>
          <w:szCs w:val="20"/>
          <w:lang w:val="en-US"/>
        </w:rPr>
        <w:t>electro, automation &amp; energy</w:t>
      </w:r>
      <w:r w:rsidR="00233125" w:rsidRPr="00737D15">
        <w:rPr>
          <w:rFonts w:ascii="Arial" w:hAnsi="Arial" w:cs="Arial"/>
          <w:b/>
          <w:color w:val="000000"/>
          <w:lang w:val="en-US"/>
        </w:rPr>
        <w:t xml:space="preserve"> </w:t>
      </w:r>
      <w:r w:rsidRPr="00340BD9">
        <w:rPr>
          <w:rFonts w:ascii="Arial" w:hAnsi="Arial" w:cs="Arial"/>
          <w:b/>
          <w:bCs/>
          <w:sz w:val="20"/>
          <w:szCs w:val="20"/>
          <w:lang w:val="en-US"/>
        </w:rPr>
        <w:t>to other companies?</w:t>
      </w:r>
    </w:p>
    <w:p w:rsidR="00F6629F" w:rsidRPr="00340BD9" w:rsidRDefault="00E56B8B" w:rsidP="00BC1C2D">
      <w:pPr>
        <w:spacing w:line="276" w:lineRule="auto"/>
        <w:jc w:val="center"/>
        <w:rPr>
          <w:rFonts w:ascii="Arial" w:hAnsi="Arial" w:cs="Arial"/>
          <w:sz w:val="18"/>
          <w:szCs w:val="18"/>
          <w:lang w:val="en-US"/>
        </w:rPr>
      </w:pPr>
      <w:r>
        <w:rPr>
          <w:noProof/>
          <w:lang w:val="en-GB" w:eastAsia="en-GB"/>
        </w:rPr>
        <w:drawing>
          <wp:inline distT="0" distB="0" distL="0" distR="0" wp14:anchorId="51634A34" wp14:editId="6CC58389">
            <wp:extent cx="4380614" cy="2402958"/>
            <wp:effectExtent l="0" t="0" r="127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8E3C9B" w:rsidRPr="00340BD9">
        <w:rPr>
          <w:rFonts w:ascii="Arial" w:hAnsi="Arial" w:cs="Arial"/>
          <w:noProof/>
          <w:sz w:val="18"/>
          <w:szCs w:val="18"/>
          <w:lang w:val="en-US"/>
        </w:rPr>
        <w:t xml:space="preserve"> </w:t>
      </w:r>
    </w:p>
    <w:p w:rsidR="0042744E" w:rsidRPr="00340BD9" w:rsidRDefault="008F2E32" w:rsidP="00BC1C2D">
      <w:pPr>
        <w:spacing w:line="276" w:lineRule="auto"/>
        <w:rPr>
          <w:rFonts w:ascii="Arial" w:hAnsi="Arial" w:cs="Arial"/>
          <w:b/>
          <w:sz w:val="20"/>
          <w:szCs w:val="20"/>
          <w:lang w:val="en-US"/>
        </w:rPr>
      </w:pPr>
      <w:r w:rsidRPr="00340BD9">
        <w:rPr>
          <w:rFonts w:ascii="Arial" w:hAnsi="Arial" w:cs="Arial"/>
          <w:b/>
          <w:sz w:val="20"/>
          <w:szCs w:val="20"/>
          <w:lang w:val="en-US"/>
        </w:rPr>
        <w:lastRenderedPageBreak/>
        <w:t>Satisfaction rate of the exhibitors concerning the following parameter</w:t>
      </w:r>
      <w:r w:rsidR="00F876D6" w:rsidRPr="00340BD9">
        <w:rPr>
          <w:rFonts w:ascii="Arial" w:hAnsi="Arial" w:cs="Arial"/>
          <w:b/>
          <w:sz w:val="20"/>
          <w:szCs w:val="20"/>
          <w:lang w:val="en-US"/>
        </w:rPr>
        <w:t>…</w:t>
      </w:r>
    </w:p>
    <w:p w:rsidR="009C1377" w:rsidRDefault="00D8324A" w:rsidP="00BC1C2D">
      <w:pPr>
        <w:tabs>
          <w:tab w:val="left" w:pos="1080"/>
        </w:tabs>
        <w:spacing w:line="276" w:lineRule="auto"/>
        <w:jc w:val="both"/>
        <w:rPr>
          <w:rFonts w:ascii="Arial" w:hAnsi="Arial" w:cs="Arial"/>
          <w:b/>
          <w:sz w:val="20"/>
          <w:szCs w:val="20"/>
          <w:lang w:val="en-US"/>
        </w:rPr>
      </w:pPr>
      <w:r>
        <w:rPr>
          <w:noProof/>
          <w:lang w:val="en-GB" w:eastAsia="en-GB"/>
        </w:rPr>
        <w:drawing>
          <wp:inline distT="0" distB="0" distL="0" distR="0" wp14:anchorId="47A591C1" wp14:editId="56072A93">
            <wp:extent cx="5760720" cy="2988786"/>
            <wp:effectExtent l="0" t="0" r="0" b="254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C0C75" w:rsidRPr="00340BD9" w:rsidRDefault="004C0C75" w:rsidP="00BC1C2D">
      <w:pPr>
        <w:tabs>
          <w:tab w:val="left" w:pos="1080"/>
        </w:tabs>
        <w:spacing w:line="276" w:lineRule="auto"/>
        <w:jc w:val="both"/>
        <w:rPr>
          <w:rFonts w:ascii="Arial" w:hAnsi="Arial" w:cs="Arial"/>
          <w:b/>
          <w:sz w:val="20"/>
          <w:szCs w:val="20"/>
          <w:lang w:val="en-US"/>
        </w:rPr>
      </w:pPr>
    </w:p>
    <w:p w:rsidR="00A43421" w:rsidRPr="00340BD9" w:rsidRDefault="00A43421" w:rsidP="00D8324A">
      <w:pPr>
        <w:spacing w:line="276" w:lineRule="auto"/>
        <w:rPr>
          <w:rFonts w:ascii="Arial" w:hAnsi="Arial" w:cs="Arial"/>
          <w:b/>
          <w:sz w:val="20"/>
          <w:szCs w:val="20"/>
          <w:lang w:val="en-US"/>
        </w:rPr>
      </w:pPr>
      <w:r w:rsidRPr="00340BD9">
        <w:rPr>
          <w:rFonts w:ascii="Arial" w:hAnsi="Arial" w:cs="Arial"/>
          <w:b/>
          <w:sz w:val="20"/>
          <w:szCs w:val="20"/>
          <w:lang w:val="en-US"/>
        </w:rPr>
        <w:t>Satisfaction rate with the exhibition services concerning the following parameter…</w:t>
      </w:r>
    </w:p>
    <w:p w:rsidR="00A43421" w:rsidRPr="00340BD9" w:rsidRDefault="00D8324A" w:rsidP="00C770D4">
      <w:pPr>
        <w:tabs>
          <w:tab w:val="left" w:pos="1080"/>
        </w:tabs>
        <w:spacing w:line="276" w:lineRule="auto"/>
        <w:jc w:val="both"/>
        <w:rPr>
          <w:rFonts w:ascii="Arial" w:hAnsi="Arial" w:cs="Arial"/>
          <w:b/>
          <w:sz w:val="20"/>
          <w:szCs w:val="20"/>
          <w:lang w:val="en-US"/>
        </w:rPr>
      </w:pPr>
      <w:r>
        <w:rPr>
          <w:noProof/>
          <w:lang w:val="en-GB" w:eastAsia="en-GB"/>
        </w:rPr>
        <w:drawing>
          <wp:inline distT="0" distB="0" distL="0" distR="0" wp14:anchorId="65BE7692" wp14:editId="7A0F476A">
            <wp:extent cx="6741042" cy="2519917"/>
            <wp:effectExtent l="0" t="0" r="3175"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A43421" w:rsidRPr="00340BD9" w:rsidSect="000C1F2B">
      <w:headerReference w:type="even" r:id="rId30"/>
      <w:headerReference w:type="default" r:id="rId31"/>
      <w:footerReference w:type="even" r:id="rId32"/>
      <w:footerReference w:type="default" r:id="rId33"/>
      <w:headerReference w:type="first" r:id="rId34"/>
      <w:footerReference w:type="first" r:id="rId35"/>
      <w:pgSz w:w="11906" w:h="16838"/>
      <w:pgMar w:top="3119"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77" w:rsidRDefault="00947B77" w:rsidP="00842A3B">
      <w:r>
        <w:separator/>
      </w:r>
    </w:p>
  </w:endnote>
  <w:endnote w:type="continuationSeparator" w:id="0">
    <w:p w:rsidR="00947B77" w:rsidRDefault="00947B77" w:rsidP="008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6D" w:rsidRDefault="002A44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77" w:rsidRDefault="00947B77">
    <w:pPr>
      <w:pStyle w:val="Fuzeile"/>
    </w:pPr>
  </w:p>
  <w:p w:rsidR="00947B77" w:rsidRDefault="002A446D" w:rsidP="008E7C05">
    <w:pPr>
      <w:pStyle w:val="Fuzeile"/>
      <w:jc w:val="center"/>
    </w:pPr>
    <w:r>
      <w:rPr>
        <w:noProof/>
        <w:lang w:val="en-GB" w:eastAsia="en-GB"/>
      </w:rPr>
      <w:drawing>
        <wp:inline distT="0" distB="0" distL="0" distR="0" wp14:anchorId="003F502D" wp14:editId="17F37038">
          <wp:extent cx="1069676" cy="356559"/>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ufi.jpg"/>
                  <pic:cNvPicPr/>
                </pic:nvPicPr>
                <pic:blipFill>
                  <a:blip r:embed="rId1">
                    <a:extLst>
                      <a:ext uri="{28A0092B-C50C-407E-A947-70E740481C1C}">
                        <a14:useLocalDpi xmlns:a14="http://schemas.microsoft.com/office/drawing/2010/main" val="0"/>
                      </a:ext>
                    </a:extLst>
                  </a:blip>
                  <a:stretch>
                    <a:fillRect/>
                  </a:stretch>
                </pic:blipFill>
                <pic:spPr>
                  <a:xfrm>
                    <a:off x="0" y="0"/>
                    <a:ext cx="1071318" cy="357106"/>
                  </a:xfrm>
                  <a:prstGeom prst="rect">
                    <a:avLst/>
                  </a:prstGeom>
                </pic:spPr>
              </pic:pic>
            </a:graphicData>
          </a:graphic>
        </wp:inline>
      </w:drawing>
    </w:r>
    <w:bookmarkStart w:id="0" w:name="_GoBack"/>
    <w:bookmarkEnd w:id="0"/>
  </w:p>
  <w:p w:rsidR="00947B77" w:rsidRDefault="00947B77">
    <w:pPr>
      <w:pStyle w:val="Fuzeile"/>
    </w:pPr>
  </w:p>
  <w:p w:rsidR="00947B77" w:rsidRDefault="00947B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6D" w:rsidRDefault="002A44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77" w:rsidRDefault="00947B77" w:rsidP="00842A3B">
      <w:r>
        <w:separator/>
      </w:r>
    </w:p>
  </w:footnote>
  <w:footnote w:type="continuationSeparator" w:id="0">
    <w:p w:rsidR="00947B77" w:rsidRDefault="00947B77" w:rsidP="0084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6D" w:rsidRDefault="002A44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77" w:rsidRPr="00EE046B" w:rsidRDefault="00947B77" w:rsidP="008E7C05">
    <w:pPr>
      <w:pStyle w:val="Kopfzeile"/>
      <w:jc w:val="right"/>
    </w:pPr>
    <w:r>
      <w:rPr>
        <w:noProof/>
        <w:lang w:val="en-GB" w:eastAsia="en-GB"/>
      </w:rPr>
      <w:drawing>
        <wp:inline distT="0" distB="0" distL="0" distR="0" wp14:anchorId="59073B6C" wp14:editId="057F8A5C">
          <wp:extent cx="2497571" cy="1318438"/>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I2012_logo_e.jpg"/>
                  <pic:cNvPicPr/>
                </pic:nvPicPr>
                <pic:blipFill>
                  <a:blip r:embed="rId1">
                    <a:extLst>
                      <a:ext uri="{28A0092B-C50C-407E-A947-70E740481C1C}">
                        <a14:useLocalDpi xmlns:a14="http://schemas.microsoft.com/office/drawing/2010/main" val="0"/>
                      </a:ext>
                    </a:extLst>
                  </a:blip>
                  <a:stretch>
                    <a:fillRect/>
                  </a:stretch>
                </pic:blipFill>
                <pic:spPr>
                  <a:xfrm>
                    <a:off x="0" y="0"/>
                    <a:ext cx="2497656" cy="13184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6D" w:rsidRDefault="002A44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73A8"/>
    <w:multiLevelType w:val="hybridMultilevel"/>
    <w:tmpl w:val="9C6C7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D56A5"/>
    <w:multiLevelType w:val="hybridMultilevel"/>
    <w:tmpl w:val="9AA64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044D39"/>
    <w:multiLevelType w:val="hybridMultilevel"/>
    <w:tmpl w:val="F22E618E"/>
    <w:lvl w:ilvl="0" w:tplc="759C5F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3B"/>
    <w:rsid w:val="00003CD1"/>
    <w:rsid w:val="000132B5"/>
    <w:rsid w:val="000243E5"/>
    <w:rsid w:val="00047E8C"/>
    <w:rsid w:val="000826A5"/>
    <w:rsid w:val="00082E69"/>
    <w:rsid w:val="0009417A"/>
    <w:rsid w:val="000A39D7"/>
    <w:rsid w:val="000C1F2B"/>
    <w:rsid w:val="000C283F"/>
    <w:rsid w:val="000D293B"/>
    <w:rsid w:val="000D43D8"/>
    <w:rsid w:val="00101A6E"/>
    <w:rsid w:val="00110A04"/>
    <w:rsid w:val="00117182"/>
    <w:rsid w:val="0013765C"/>
    <w:rsid w:val="00137999"/>
    <w:rsid w:val="00144313"/>
    <w:rsid w:val="0014686D"/>
    <w:rsid w:val="00162788"/>
    <w:rsid w:val="00167C65"/>
    <w:rsid w:val="001A2B26"/>
    <w:rsid w:val="001B5905"/>
    <w:rsid w:val="001C567F"/>
    <w:rsid w:val="001E58C7"/>
    <w:rsid w:val="00233125"/>
    <w:rsid w:val="00245D75"/>
    <w:rsid w:val="00263950"/>
    <w:rsid w:val="00267149"/>
    <w:rsid w:val="00277337"/>
    <w:rsid w:val="00280820"/>
    <w:rsid w:val="002A446D"/>
    <w:rsid w:val="002C5444"/>
    <w:rsid w:val="002C6FEE"/>
    <w:rsid w:val="002D4F9F"/>
    <w:rsid w:val="002D673E"/>
    <w:rsid w:val="002E2240"/>
    <w:rsid w:val="002F4E39"/>
    <w:rsid w:val="002F51E3"/>
    <w:rsid w:val="00314384"/>
    <w:rsid w:val="00315077"/>
    <w:rsid w:val="00315BD4"/>
    <w:rsid w:val="0032090F"/>
    <w:rsid w:val="00322E81"/>
    <w:rsid w:val="00326CC6"/>
    <w:rsid w:val="00340BD9"/>
    <w:rsid w:val="00386A92"/>
    <w:rsid w:val="003924E6"/>
    <w:rsid w:val="003A17D3"/>
    <w:rsid w:val="003A225F"/>
    <w:rsid w:val="003B2C50"/>
    <w:rsid w:val="00411DFA"/>
    <w:rsid w:val="0042744E"/>
    <w:rsid w:val="0045117F"/>
    <w:rsid w:val="00476958"/>
    <w:rsid w:val="00482251"/>
    <w:rsid w:val="004C0C75"/>
    <w:rsid w:val="004D6AB6"/>
    <w:rsid w:val="004E42D6"/>
    <w:rsid w:val="00525862"/>
    <w:rsid w:val="00531EF2"/>
    <w:rsid w:val="00555106"/>
    <w:rsid w:val="005664C5"/>
    <w:rsid w:val="00581EA6"/>
    <w:rsid w:val="005A1619"/>
    <w:rsid w:val="005B6EBB"/>
    <w:rsid w:val="005C65C9"/>
    <w:rsid w:val="005E2C06"/>
    <w:rsid w:val="0060021F"/>
    <w:rsid w:val="00606C60"/>
    <w:rsid w:val="00632CFF"/>
    <w:rsid w:val="0063375A"/>
    <w:rsid w:val="0063462C"/>
    <w:rsid w:val="00650D91"/>
    <w:rsid w:val="00654797"/>
    <w:rsid w:val="00673847"/>
    <w:rsid w:val="006B1BB4"/>
    <w:rsid w:val="006B63F8"/>
    <w:rsid w:val="007061DC"/>
    <w:rsid w:val="00737D15"/>
    <w:rsid w:val="0074032C"/>
    <w:rsid w:val="007605BD"/>
    <w:rsid w:val="00771965"/>
    <w:rsid w:val="00777074"/>
    <w:rsid w:val="0079568F"/>
    <w:rsid w:val="00795966"/>
    <w:rsid w:val="007A550D"/>
    <w:rsid w:val="007C6241"/>
    <w:rsid w:val="007D161D"/>
    <w:rsid w:val="007F297E"/>
    <w:rsid w:val="00816ECD"/>
    <w:rsid w:val="00842A3B"/>
    <w:rsid w:val="008509D5"/>
    <w:rsid w:val="00886457"/>
    <w:rsid w:val="00891B5A"/>
    <w:rsid w:val="008954FF"/>
    <w:rsid w:val="008C090D"/>
    <w:rsid w:val="008C6E7A"/>
    <w:rsid w:val="008D555D"/>
    <w:rsid w:val="008E3C9B"/>
    <w:rsid w:val="008E409B"/>
    <w:rsid w:val="008E4EA6"/>
    <w:rsid w:val="008E7C05"/>
    <w:rsid w:val="008F12A3"/>
    <w:rsid w:val="008F2E32"/>
    <w:rsid w:val="008F3FC0"/>
    <w:rsid w:val="00926098"/>
    <w:rsid w:val="009334B1"/>
    <w:rsid w:val="00947B77"/>
    <w:rsid w:val="009512E0"/>
    <w:rsid w:val="00974EF2"/>
    <w:rsid w:val="0097690C"/>
    <w:rsid w:val="00982145"/>
    <w:rsid w:val="00991C3F"/>
    <w:rsid w:val="009A442D"/>
    <w:rsid w:val="009B183D"/>
    <w:rsid w:val="009C1377"/>
    <w:rsid w:val="00A01BFB"/>
    <w:rsid w:val="00A32E71"/>
    <w:rsid w:val="00A43421"/>
    <w:rsid w:val="00A77BBB"/>
    <w:rsid w:val="00AA01ED"/>
    <w:rsid w:val="00AE6A02"/>
    <w:rsid w:val="00AF2CB5"/>
    <w:rsid w:val="00B04C37"/>
    <w:rsid w:val="00B253B1"/>
    <w:rsid w:val="00B4083E"/>
    <w:rsid w:val="00B568A0"/>
    <w:rsid w:val="00B62B1B"/>
    <w:rsid w:val="00B77A95"/>
    <w:rsid w:val="00B86DC8"/>
    <w:rsid w:val="00B878E8"/>
    <w:rsid w:val="00BA3079"/>
    <w:rsid w:val="00BA472E"/>
    <w:rsid w:val="00BA629B"/>
    <w:rsid w:val="00BB4957"/>
    <w:rsid w:val="00BB508C"/>
    <w:rsid w:val="00BC1C2D"/>
    <w:rsid w:val="00BD53D8"/>
    <w:rsid w:val="00BD6A8E"/>
    <w:rsid w:val="00BE22D0"/>
    <w:rsid w:val="00BF16B8"/>
    <w:rsid w:val="00BF3ADE"/>
    <w:rsid w:val="00C13E2F"/>
    <w:rsid w:val="00C15AB2"/>
    <w:rsid w:val="00C223EC"/>
    <w:rsid w:val="00C47AD5"/>
    <w:rsid w:val="00C67A7C"/>
    <w:rsid w:val="00C7050D"/>
    <w:rsid w:val="00C76116"/>
    <w:rsid w:val="00C770D4"/>
    <w:rsid w:val="00C95D2B"/>
    <w:rsid w:val="00CD1504"/>
    <w:rsid w:val="00CF0EF9"/>
    <w:rsid w:val="00D07E0D"/>
    <w:rsid w:val="00D109C1"/>
    <w:rsid w:val="00D2378D"/>
    <w:rsid w:val="00D34B20"/>
    <w:rsid w:val="00D65043"/>
    <w:rsid w:val="00D756A7"/>
    <w:rsid w:val="00D82A57"/>
    <w:rsid w:val="00D8324A"/>
    <w:rsid w:val="00DB1AE8"/>
    <w:rsid w:val="00DE4B89"/>
    <w:rsid w:val="00DF0B3E"/>
    <w:rsid w:val="00DF2A93"/>
    <w:rsid w:val="00E4766F"/>
    <w:rsid w:val="00E563FC"/>
    <w:rsid w:val="00E56B8B"/>
    <w:rsid w:val="00E679E6"/>
    <w:rsid w:val="00EA0797"/>
    <w:rsid w:val="00EB2D55"/>
    <w:rsid w:val="00EB42FE"/>
    <w:rsid w:val="00EB4A45"/>
    <w:rsid w:val="00EE046B"/>
    <w:rsid w:val="00F071FD"/>
    <w:rsid w:val="00F15286"/>
    <w:rsid w:val="00F2198B"/>
    <w:rsid w:val="00F22713"/>
    <w:rsid w:val="00F354D2"/>
    <w:rsid w:val="00F50026"/>
    <w:rsid w:val="00F6629F"/>
    <w:rsid w:val="00F81800"/>
    <w:rsid w:val="00F8650F"/>
    <w:rsid w:val="00F876D6"/>
    <w:rsid w:val="00F925E5"/>
    <w:rsid w:val="00FB2F14"/>
    <w:rsid w:val="00FB3FC8"/>
    <w:rsid w:val="00FB4F50"/>
    <w:rsid w:val="00FB5F3F"/>
    <w:rsid w:val="00FD6320"/>
    <w:rsid w:val="00FE7680"/>
    <w:rsid w:val="00FF0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42A3B"/>
  </w:style>
  <w:style w:type="paragraph" w:styleId="Fuzeile">
    <w:name w:val="footer"/>
    <w:basedOn w:val="Standard"/>
    <w:link w:val="FuzeileZchn"/>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42A3B"/>
  </w:style>
  <w:style w:type="paragraph" w:styleId="Sprechblasentext">
    <w:name w:val="Balloon Text"/>
    <w:basedOn w:val="Standard"/>
    <w:link w:val="SprechblasentextZchn"/>
    <w:uiPriority w:val="99"/>
    <w:semiHidden/>
    <w:unhideWhenUsed/>
    <w:rsid w:val="00842A3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42A3B"/>
    <w:rPr>
      <w:rFonts w:ascii="Tahoma" w:hAnsi="Tahoma" w:cs="Tahoma"/>
      <w:sz w:val="16"/>
      <w:szCs w:val="16"/>
    </w:rPr>
  </w:style>
  <w:style w:type="table" w:styleId="Tabellenraster">
    <w:name w:val="Table Grid"/>
    <w:basedOn w:val="NormaleTabelle"/>
    <w:uiPriority w:val="59"/>
    <w:rsid w:val="0084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842A3B"/>
  </w:style>
  <w:style w:type="character" w:styleId="Hyperlink">
    <w:name w:val="Hyperlink"/>
    <w:basedOn w:val="Absatz-Standardschriftart"/>
    <w:uiPriority w:val="99"/>
    <w:unhideWhenUsed/>
    <w:rsid w:val="00082E69"/>
    <w:rPr>
      <w:color w:val="0000FF"/>
      <w:u w:val="single"/>
    </w:rPr>
  </w:style>
  <w:style w:type="paragraph" w:styleId="Listenabsatz">
    <w:name w:val="List Paragraph"/>
    <w:basedOn w:val="Standard"/>
    <w:uiPriority w:val="34"/>
    <w:qFormat/>
    <w:rsid w:val="005A1619"/>
    <w:pPr>
      <w:ind w:left="720"/>
      <w:contextualSpacing/>
    </w:pPr>
  </w:style>
  <w:style w:type="paragraph" w:styleId="StandardWeb">
    <w:name w:val="Normal (Web)"/>
    <w:basedOn w:val="Standard"/>
    <w:uiPriority w:val="99"/>
    <w:semiHidden/>
    <w:unhideWhenUsed/>
    <w:rsid w:val="0042744E"/>
    <w:pPr>
      <w:spacing w:before="100" w:beforeAutospacing="1" w:after="100" w:afterAutospacing="1"/>
    </w:pPr>
  </w:style>
  <w:style w:type="character" w:styleId="BesuchterHyperlink">
    <w:name w:val="FollowedHyperlink"/>
    <w:basedOn w:val="Absatz-Standardschriftart"/>
    <w:uiPriority w:val="99"/>
    <w:semiHidden/>
    <w:unhideWhenUsed/>
    <w:rsid w:val="00AA01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42A3B"/>
  </w:style>
  <w:style w:type="paragraph" w:styleId="Fuzeile">
    <w:name w:val="footer"/>
    <w:basedOn w:val="Standard"/>
    <w:link w:val="FuzeileZchn"/>
    <w:unhideWhenUsed/>
    <w:rsid w:val="00842A3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42A3B"/>
  </w:style>
  <w:style w:type="paragraph" w:styleId="Sprechblasentext">
    <w:name w:val="Balloon Text"/>
    <w:basedOn w:val="Standard"/>
    <w:link w:val="SprechblasentextZchn"/>
    <w:uiPriority w:val="99"/>
    <w:semiHidden/>
    <w:unhideWhenUsed/>
    <w:rsid w:val="00842A3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842A3B"/>
    <w:rPr>
      <w:rFonts w:ascii="Tahoma" w:hAnsi="Tahoma" w:cs="Tahoma"/>
      <w:sz w:val="16"/>
      <w:szCs w:val="16"/>
    </w:rPr>
  </w:style>
  <w:style w:type="table" w:styleId="Tabellenraster">
    <w:name w:val="Table Grid"/>
    <w:basedOn w:val="NormaleTabelle"/>
    <w:uiPriority w:val="59"/>
    <w:rsid w:val="0084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842A3B"/>
  </w:style>
  <w:style w:type="character" w:styleId="Hyperlink">
    <w:name w:val="Hyperlink"/>
    <w:basedOn w:val="Absatz-Standardschriftart"/>
    <w:uiPriority w:val="99"/>
    <w:unhideWhenUsed/>
    <w:rsid w:val="00082E69"/>
    <w:rPr>
      <w:color w:val="0000FF"/>
      <w:u w:val="single"/>
    </w:rPr>
  </w:style>
  <w:style w:type="paragraph" w:styleId="Listenabsatz">
    <w:name w:val="List Paragraph"/>
    <w:basedOn w:val="Standard"/>
    <w:uiPriority w:val="34"/>
    <w:qFormat/>
    <w:rsid w:val="005A1619"/>
    <w:pPr>
      <w:ind w:left="720"/>
      <w:contextualSpacing/>
    </w:pPr>
  </w:style>
  <w:style w:type="paragraph" w:styleId="StandardWeb">
    <w:name w:val="Normal (Web)"/>
    <w:basedOn w:val="Standard"/>
    <w:uiPriority w:val="99"/>
    <w:semiHidden/>
    <w:unhideWhenUsed/>
    <w:rsid w:val="0042744E"/>
    <w:pPr>
      <w:spacing w:before="100" w:beforeAutospacing="1" w:after="100" w:afterAutospacing="1"/>
    </w:pPr>
  </w:style>
  <w:style w:type="character" w:styleId="BesuchterHyperlink">
    <w:name w:val="FollowedHyperlink"/>
    <w:basedOn w:val="Absatz-Standardschriftart"/>
    <w:uiPriority w:val="99"/>
    <w:semiHidden/>
    <w:unhideWhenUsed/>
    <w:rsid w:val="00AA01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023">
      <w:bodyDiv w:val="1"/>
      <w:marLeft w:val="0"/>
      <w:marRight w:val="0"/>
      <w:marTop w:val="0"/>
      <w:marBottom w:val="0"/>
      <w:divBdr>
        <w:top w:val="none" w:sz="0" w:space="0" w:color="auto"/>
        <w:left w:val="none" w:sz="0" w:space="0" w:color="auto"/>
        <w:bottom w:val="none" w:sz="0" w:space="0" w:color="auto"/>
        <w:right w:val="none" w:sz="0" w:space="0" w:color="auto"/>
      </w:divBdr>
    </w:div>
    <w:div w:id="709233367">
      <w:bodyDiv w:val="1"/>
      <w:marLeft w:val="0"/>
      <w:marRight w:val="0"/>
      <w:marTop w:val="0"/>
      <w:marBottom w:val="0"/>
      <w:divBdr>
        <w:top w:val="none" w:sz="0" w:space="0" w:color="auto"/>
        <w:left w:val="none" w:sz="0" w:space="0" w:color="auto"/>
        <w:bottom w:val="none" w:sz="0" w:space="0" w:color="auto"/>
        <w:right w:val="none" w:sz="0" w:space="0" w:color="auto"/>
      </w:divBdr>
    </w:div>
    <w:div w:id="1027297611">
      <w:bodyDiv w:val="1"/>
      <w:marLeft w:val="0"/>
      <w:marRight w:val="0"/>
      <w:marTop w:val="0"/>
      <w:marBottom w:val="0"/>
      <w:divBdr>
        <w:top w:val="none" w:sz="0" w:space="0" w:color="auto"/>
        <w:left w:val="none" w:sz="0" w:space="0" w:color="auto"/>
        <w:bottom w:val="none" w:sz="0" w:space="0" w:color="auto"/>
        <w:right w:val="none" w:sz="0" w:space="0" w:color="auto"/>
      </w:divBdr>
    </w:div>
    <w:div w:id="1461339940">
      <w:bodyDiv w:val="1"/>
      <w:marLeft w:val="0"/>
      <w:marRight w:val="0"/>
      <w:marTop w:val="0"/>
      <w:marBottom w:val="0"/>
      <w:divBdr>
        <w:top w:val="none" w:sz="0" w:space="0" w:color="auto"/>
        <w:left w:val="none" w:sz="0" w:space="0" w:color="auto"/>
        <w:bottom w:val="none" w:sz="0" w:space="0" w:color="auto"/>
        <w:right w:val="none" w:sz="0" w:space="0" w:color="auto"/>
      </w:divBdr>
    </w:div>
    <w:div w:id="1765876214">
      <w:bodyDiv w:val="1"/>
      <w:marLeft w:val="0"/>
      <w:marRight w:val="0"/>
      <w:marTop w:val="0"/>
      <w:marBottom w:val="0"/>
      <w:divBdr>
        <w:top w:val="none" w:sz="0" w:space="0" w:color="auto"/>
        <w:left w:val="none" w:sz="0" w:space="0" w:color="auto"/>
        <w:bottom w:val="none" w:sz="0" w:space="0" w:color="auto"/>
        <w:right w:val="none" w:sz="0" w:space="0" w:color="auto"/>
      </w:divBdr>
    </w:div>
    <w:div w:id="1885485303">
      <w:bodyDiv w:val="1"/>
      <w:marLeft w:val="0"/>
      <w:marRight w:val="0"/>
      <w:marTop w:val="0"/>
      <w:marBottom w:val="0"/>
      <w:divBdr>
        <w:top w:val="none" w:sz="0" w:space="0" w:color="auto"/>
        <w:left w:val="none" w:sz="0" w:space="0" w:color="auto"/>
        <w:bottom w:val="none" w:sz="0" w:space="0" w:color="auto"/>
        <w:right w:val="none" w:sz="0" w:space="0" w:color="auto"/>
      </w:divBdr>
    </w:div>
    <w:div w:id="21140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3.bin"/><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4.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charts/_rels/chart1.xml.rels><?xml version="1.0" encoding="UTF-8" standalone="yes"?>
<Relationships xmlns="http://schemas.openxmlformats.org/package/2006/relationships"><Relationship Id="rId2" Type="http://schemas.openxmlformats.org/officeDocument/2006/relationships/oleObject" Target="file:///\\FT-SRV01\DATEN\2012\electro%202012\Post%20Show%20Report\Auswertungen%20Besucherbefragu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T-SRV01\DATEN\2012\electro%202012\Post%20Show%20Report\Auswertungen%20Besucherbefragung.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T-SRV01\DATEN\2012\electro%202012\Post%20Show%20Report\Auswertungen%20Besucherbefragung.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T-SRV01\DATEN\2012\electro%202012\Post%20Show%20Report\Kopie%20von%20Auswertungen%20Besucherbefragung.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FT-SRV01\DATEN\2012\electro%202012\Post%20Show%20Report\Kopie%20von%20Auswertungen%20Besucherbefragung.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FT-SRV01\DATEN\2012\electro%202012\Post%20Show%20Report\Auswertungen%20Ausstellerbefragu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T-SRV01\DATEN\2012\electro%202012\Post%20Show%20Report\Auswertungen%20Ausstellerbefragung.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FT-SRV01\DATEN\2012\electro%202012\Post%20Show%20Report\Auswertungen%20Ausstellerbefragung.xlsx"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oleObject" Target="file:///\\FT-SRV01\DATEN\2012\electro%202012\Post%20Show%20Report\Auswertungen%20Ausstellerbefrag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206255468066494E-2"/>
          <c:y val="5.1284631087780697E-2"/>
          <c:w val="0.87223818897637795"/>
          <c:h val="0.81755686789151361"/>
        </c:manualLayout>
      </c:layout>
      <c:barChart>
        <c:barDir val="col"/>
        <c:grouping val="stacked"/>
        <c:varyColors val="0"/>
        <c:ser>
          <c:idx val="0"/>
          <c:order val="0"/>
          <c:tx>
            <c:strRef>
              <c:f>Tabelle1!$H$3</c:f>
              <c:strCache>
                <c:ptCount val="1"/>
                <c:pt idx="0">
                  <c:v>Algeria</c:v>
                </c:pt>
              </c:strCache>
            </c:strRef>
          </c:tx>
          <c:invertIfNegative val="0"/>
          <c:dLbls>
            <c:dLbl>
              <c:idx val="0"/>
              <c:layout/>
              <c:tx>
                <c:rich>
                  <a:bodyPr/>
                  <a:lstStyle/>
                  <a:p>
                    <a:r>
                      <a:rPr lang="en-US"/>
                      <a:t>481</a:t>
                    </a:r>
                  </a:p>
                </c:rich>
              </c:tx>
              <c:showLegendKey val="0"/>
              <c:showVal val="1"/>
              <c:showCatName val="0"/>
              <c:showSerName val="0"/>
              <c:showPercent val="0"/>
              <c:showBubbleSize val="0"/>
            </c:dLbl>
            <c:dLbl>
              <c:idx val="1"/>
              <c:layout/>
              <c:tx>
                <c:rich>
                  <a:bodyPr/>
                  <a:lstStyle/>
                  <a:p>
                    <a:r>
                      <a:rPr lang="en-US"/>
                      <a:t>517</a:t>
                    </a:r>
                  </a:p>
                </c:rich>
              </c:tx>
              <c:showLegendKey val="0"/>
              <c:showVal val="1"/>
              <c:showCatName val="0"/>
              <c:showSerName val="0"/>
              <c:showPercent val="0"/>
              <c:showBubbleSize val="0"/>
            </c:dLbl>
            <c:dLbl>
              <c:idx val="2"/>
              <c:layout/>
              <c:tx>
                <c:rich>
                  <a:bodyPr/>
                  <a:lstStyle/>
                  <a:p>
                    <a:r>
                      <a:rPr lang="en-US"/>
                      <a:t>591</a:t>
                    </a:r>
                  </a:p>
                </c:rich>
              </c:tx>
              <c:showLegendKey val="0"/>
              <c:showVal val="1"/>
              <c:showCatName val="0"/>
              <c:showSerName val="0"/>
              <c:showPercent val="0"/>
              <c:showBubbleSize val="0"/>
            </c:dLbl>
            <c:dLbl>
              <c:idx val="3"/>
              <c:layout/>
              <c:tx>
                <c:rich>
                  <a:bodyPr/>
                  <a:lstStyle/>
                  <a:p>
                    <a:r>
                      <a:rPr lang="en-US"/>
                      <a:t>280</a:t>
                    </a:r>
                  </a:p>
                </c:rich>
              </c:tx>
              <c:showLegendKey val="0"/>
              <c:showVal val="1"/>
              <c:showCatName val="0"/>
              <c:showSerName val="0"/>
              <c:showPercent val="0"/>
              <c:showBubbleSize val="0"/>
            </c:dLbl>
            <c:txPr>
              <a:bodyPr/>
              <a:lstStyle/>
              <a:p>
                <a:pPr>
                  <a:defRPr sz="1600"/>
                </a:pPr>
                <a:endParaRPr lang="en-US"/>
              </a:p>
            </c:txPr>
            <c:showLegendKey val="0"/>
            <c:showVal val="1"/>
            <c:showCatName val="0"/>
            <c:showSerName val="0"/>
            <c:showPercent val="0"/>
            <c:showBubbleSize val="0"/>
            <c:showLeaderLines val="0"/>
          </c:dLbls>
          <c:cat>
            <c:strRef>
              <c:f>Tabelle1!$I$2:$L$2</c:f>
              <c:strCache>
                <c:ptCount val="4"/>
                <c:pt idx="0">
                  <c:v>Day 1</c:v>
                </c:pt>
                <c:pt idx="1">
                  <c:v>Day 2</c:v>
                </c:pt>
                <c:pt idx="2">
                  <c:v>Day 3</c:v>
                </c:pt>
                <c:pt idx="3">
                  <c:v>Day 4</c:v>
                </c:pt>
              </c:strCache>
            </c:strRef>
          </c:cat>
          <c:val>
            <c:numRef>
              <c:f>Tabelle1!$I$3:$L$3</c:f>
              <c:numCache>
                <c:formatCode>General</c:formatCode>
                <c:ptCount val="4"/>
                <c:pt idx="0">
                  <c:v>481</c:v>
                </c:pt>
                <c:pt idx="1">
                  <c:v>522</c:v>
                </c:pt>
                <c:pt idx="2">
                  <c:v>594</c:v>
                </c:pt>
                <c:pt idx="3">
                  <c:v>292</c:v>
                </c:pt>
              </c:numCache>
            </c:numRef>
          </c:val>
        </c:ser>
        <c:ser>
          <c:idx val="1"/>
          <c:order val="1"/>
          <c:tx>
            <c:strRef>
              <c:f>Tabelle1!$H$4</c:f>
              <c:strCache>
                <c:ptCount val="1"/>
                <c:pt idx="0">
                  <c:v>International</c:v>
                </c:pt>
              </c:strCache>
            </c:strRef>
          </c:tx>
          <c:invertIfNegative val="0"/>
          <c:dLbls>
            <c:txPr>
              <a:bodyPr/>
              <a:lstStyle/>
              <a:p>
                <a:pPr>
                  <a:defRPr sz="1600"/>
                </a:pPr>
                <a:endParaRPr lang="en-US"/>
              </a:p>
            </c:txPr>
            <c:showLegendKey val="0"/>
            <c:showVal val="1"/>
            <c:showCatName val="0"/>
            <c:showSerName val="0"/>
            <c:showPercent val="0"/>
            <c:showBubbleSize val="0"/>
            <c:showLeaderLines val="0"/>
          </c:dLbls>
          <c:cat>
            <c:strRef>
              <c:f>Tabelle1!$I$2:$L$2</c:f>
              <c:strCache>
                <c:ptCount val="4"/>
                <c:pt idx="0">
                  <c:v>Day 1</c:v>
                </c:pt>
                <c:pt idx="1">
                  <c:v>Day 2</c:v>
                </c:pt>
                <c:pt idx="2">
                  <c:v>Day 3</c:v>
                </c:pt>
                <c:pt idx="3">
                  <c:v>Day 4</c:v>
                </c:pt>
              </c:strCache>
            </c:strRef>
          </c:cat>
          <c:val>
            <c:numRef>
              <c:f>Tabelle1!$I$4:$L$4</c:f>
              <c:numCache>
                <c:formatCode>General</c:formatCode>
                <c:ptCount val="4"/>
                <c:pt idx="0">
                  <c:v>22</c:v>
                </c:pt>
                <c:pt idx="1">
                  <c:v>25</c:v>
                </c:pt>
                <c:pt idx="2">
                  <c:v>25</c:v>
                </c:pt>
                <c:pt idx="3">
                  <c:v>7</c:v>
                </c:pt>
              </c:numCache>
            </c:numRef>
          </c:val>
        </c:ser>
        <c:dLbls>
          <c:showLegendKey val="0"/>
          <c:showVal val="1"/>
          <c:showCatName val="0"/>
          <c:showSerName val="0"/>
          <c:showPercent val="0"/>
          <c:showBubbleSize val="0"/>
        </c:dLbls>
        <c:gapWidth val="75"/>
        <c:overlap val="100"/>
        <c:axId val="108994560"/>
        <c:axId val="108996096"/>
      </c:barChart>
      <c:catAx>
        <c:axId val="108994560"/>
        <c:scaling>
          <c:orientation val="minMax"/>
        </c:scaling>
        <c:delete val="0"/>
        <c:axPos val="b"/>
        <c:majorTickMark val="none"/>
        <c:minorTickMark val="none"/>
        <c:tickLblPos val="nextTo"/>
        <c:txPr>
          <a:bodyPr/>
          <a:lstStyle/>
          <a:p>
            <a:pPr>
              <a:defRPr b="0" i="0"/>
            </a:pPr>
            <a:endParaRPr lang="en-US"/>
          </a:p>
        </c:txPr>
        <c:crossAx val="108996096"/>
        <c:crosses val="autoZero"/>
        <c:auto val="1"/>
        <c:lblAlgn val="ctr"/>
        <c:lblOffset val="100"/>
        <c:noMultiLvlLbl val="0"/>
      </c:catAx>
      <c:valAx>
        <c:axId val="108996096"/>
        <c:scaling>
          <c:orientation val="minMax"/>
        </c:scaling>
        <c:delete val="0"/>
        <c:axPos val="l"/>
        <c:numFmt formatCode="General" sourceLinked="1"/>
        <c:majorTickMark val="none"/>
        <c:minorTickMark val="none"/>
        <c:tickLblPos val="nextTo"/>
        <c:txPr>
          <a:bodyPr/>
          <a:lstStyle/>
          <a:p>
            <a:pPr>
              <a:defRPr b="0"/>
            </a:pPr>
            <a:endParaRPr lang="en-US"/>
          </a:p>
        </c:txPr>
        <c:crossAx val="108994560"/>
        <c:crosses val="autoZero"/>
        <c:crossBetween val="between"/>
      </c:valAx>
    </c:plotArea>
    <c:legend>
      <c:legendPos val="b"/>
      <c:layout>
        <c:manualLayout>
          <c:xMode val="edge"/>
          <c:yMode val="edge"/>
          <c:x val="0.17807305336832896"/>
          <c:y val="2.2993219597550341E-2"/>
          <c:w val="0.4049647856517935"/>
          <c:h val="8.3488261883931172E-2"/>
        </c:manualLayout>
      </c:layout>
      <c:overlay val="0"/>
      <c:txPr>
        <a:bodyPr/>
        <a:lstStyle/>
        <a:p>
          <a:pPr>
            <a:defRPr b="0"/>
          </a:pPr>
          <a:endParaRPr lang="en-US"/>
        </a:p>
      </c:txPr>
    </c:legend>
    <c:plotVisOnly val="1"/>
    <c:dispBlanksAs val="gap"/>
    <c:showDLblsOverMax val="0"/>
  </c:chart>
  <c:spPr>
    <a:ln>
      <a:noFill/>
    </a:ln>
  </c:spPr>
  <c:txPr>
    <a:bodyPr/>
    <a:lstStyle/>
    <a:p>
      <a:pPr>
        <a:defRPr sz="1200" b="1">
          <a:latin typeface="Arial" pitchFamily="34" charset="0"/>
          <a:ea typeface="Verdana" pitchFamily="34" charset="0"/>
          <a:cs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94070384059132"/>
          <c:y val="7.1572933770394989E-2"/>
          <c:w val="0.50050331192218278"/>
          <c:h val="0.80846459669631876"/>
        </c:manualLayout>
      </c:layout>
      <c:pieChart>
        <c:varyColors val="1"/>
        <c:ser>
          <c:idx val="0"/>
          <c:order val="0"/>
          <c:explosion val="25"/>
          <c:dLbls>
            <c:dLbl>
              <c:idx val="4"/>
              <c:layout>
                <c:manualLayout>
                  <c:x val="0.12493494238652925"/>
                  <c:y val="3.2058821746588834E-2"/>
                </c:manualLayout>
              </c:layout>
              <c:showLegendKey val="0"/>
              <c:showVal val="1"/>
              <c:showCatName val="1"/>
              <c:showSerName val="0"/>
              <c:showPercent val="0"/>
              <c:showBubbleSize val="0"/>
              <c:separator>
</c:separator>
            </c:dLbl>
            <c:txPr>
              <a:bodyPr/>
              <a:lstStyle/>
              <a:p>
                <a:pPr>
                  <a:defRPr b="1">
                    <a:latin typeface="Arial" pitchFamily="34" charset="0"/>
                    <a:cs typeface="Arial" pitchFamily="34" charset="0"/>
                  </a:defRPr>
                </a:pPr>
                <a:endParaRPr lang="en-US"/>
              </a:p>
            </c:txPr>
            <c:showLegendKey val="0"/>
            <c:showVal val="1"/>
            <c:showCatName val="1"/>
            <c:showSerName val="0"/>
            <c:showPercent val="0"/>
            <c:showBubbleSize val="0"/>
            <c:separator>
</c:separator>
            <c:showLeaderLines val="1"/>
          </c:dLbls>
          <c:cat>
            <c:strRef>
              <c:f>Tabelle1!$E$10:$E$26</c:f>
              <c:strCache>
                <c:ptCount val="17"/>
                <c:pt idx="0">
                  <c:v>Angola</c:v>
                </c:pt>
                <c:pt idx="1">
                  <c:v>Canada</c:v>
                </c:pt>
                <c:pt idx="2">
                  <c:v>China</c:v>
                </c:pt>
                <c:pt idx="3">
                  <c:v>Congo</c:v>
                </c:pt>
                <c:pt idx="4">
                  <c:v>United Arab Emirates</c:v>
                </c:pt>
                <c:pt idx="5">
                  <c:v>Iran</c:v>
                </c:pt>
                <c:pt idx="6">
                  <c:v>Togo</c:v>
                </c:pt>
                <c:pt idx="7">
                  <c:v>Anguilla</c:v>
                </c:pt>
                <c:pt idx="8">
                  <c:v>Portugal</c:v>
                </c:pt>
                <c:pt idx="9">
                  <c:v>Andorra</c:v>
                </c:pt>
                <c:pt idx="10">
                  <c:v>Morocco</c:v>
                </c:pt>
                <c:pt idx="11">
                  <c:v>Tunisia</c:v>
                </c:pt>
                <c:pt idx="12">
                  <c:v>Turkey</c:v>
                </c:pt>
                <c:pt idx="13">
                  <c:v>Italy</c:v>
                </c:pt>
                <c:pt idx="14">
                  <c:v>Germany</c:v>
                </c:pt>
                <c:pt idx="15">
                  <c:v>Spain</c:v>
                </c:pt>
                <c:pt idx="16">
                  <c:v>France</c:v>
                </c:pt>
              </c:strCache>
            </c:strRef>
          </c:cat>
          <c:val>
            <c:numRef>
              <c:f>Tabelle1!$F$10:$F$26</c:f>
              <c:numCache>
                <c:formatCode>General</c:formatCode>
                <c:ptCount val="17"/>
                <c:pt idx="0">
                  <c:v>1</c:v>
                </c:pt>
                <c:pt idx="1">
                  <c:v>1</c:v>
                </c:pt>
                <c:pt idx="2">
                  <c:v>1</c:v>
                </c:pt>
                <c:pt idx="3">
                  <c:v>1</c:v>
                </c:pt>
                <c:pt idx="4">
                  <c:v>1</c:v>
                </c:pt>
                <c:pt idx="5">
                  <c:v>1</c:v>
                </c:pt>
                <c:pt idx="6">
                  <c:v>1</c:v>
                </c:pt>
                <c:pt idx="7">
                  <c:v>2</c:v>
                </c:pt>
                <c:pt idx="8">
                  <c:v>3</c:v>
                </c:pt>
                <c:pt idx="9">
                  <c:v>4</c:v>
                </c:pt>
                <c:pt idx="10">
                  <c:v>4</c:v>
                </c:pt>
                <c:pt idx="11">
                  <c:v>5</c:v>
                </c:pt>
                <c:pt idx="12">
                  <c:v>5</c:v>
                </c:pt>
                <c:pt idx="13">
                  <c:v>6</c:v>
                </c:pt>
                <c:pt idx="14">
                  <c:v>13</c:v>
                </c:pt>
                <c:pt idx="15">
                  <c:v>14</c:v>
                </c:pt>
                <c:pt idx="16">
                  <c:v>16</c:v>
                </c:pt>
              </c:numCache>
            </c:numRef>
          </c:val>
        </c:ser>
        <c:dLbls>
          <c:showLegendKey val="0"/>
          <c:showVal val="1"/>
          <c:showCatName val="1"/>
          <c:showSerName val="0"/>
          <c:showPercent val="0"/>
          <c:showBubbleSize val="0"/>
          <c:showLeaderLines val="1"/>
        </c:dLbls>
        <c:firstSliceAng val="104"/>
      </c:pieChart>
    </c:plotArea>
    <c:plotVisOnly val="1"/>
    <c:dispBlanksAs val="gap"/>
    <c:showDLblsOverMax val="0"/>
  </c:chart>
  <c:spPr>
    <a:ln>
      <a:noFill/>
    </a:ln>
  </c:spPr>
  <c:txPr>
    <a:bodyPr/>
    <a:lstStyle/>
    <a:p>
      <a:pPr>
        <a:defRPr>
          <a:latin typeface="Verdana" pitchFamily="34" charset="0"/>
          <a:ea typeface="Verdana" pitchFamily="34" charset="0"/>
          <a:cs typeface="Verdana"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txPr>
              <a:bodyPr/>
              <a:lstStyle/>
              <a:p>
                <a:pPr>
                  <a:defRPr sz="1600" b="1"/>
                </a:pPr>
                <a:endParaRPr lang="en-US"/>
              </a:p>
            </c:txPr>
            <c:showLegendKey val="0"/>
            <c:showVal val="1"/>
            <c:showCatName val="0"/>
            <c:showSerName val="0"/>
            <c:showPercent val="0"/>
            <c:showBubbleSize val="0"/>
            <c:showLeaderLines val="0"/>
          </c:dLbls>
          <c:cat>
            <c:strRef>
              <c:f>Tabelle1!$B$78:$B$82</c:f>
              <c:strCache>
                <c:ptCount val="5"/>
                <c:pt idx="0">
                  <c:v>1-10</c:v>
                </c:pt>
                <c:pt idx="1">
                  <c:v>11-50</c:v>
                </c:pt>
                <c:pt idx="2">
                  <c:v>51-500</c:v>
                </c:pt>
                <c:pt idx="3">
                  <c:v>501-1000</c:v>
                </c:pt>
                <c:pt idx="4">
                  <c:v>+1000</c:v>
                </c:pt>
              </c:strCache>
            </c:strRef>
          </c:cat>
          <c:val>
            <c:numRef>
              <c:f>Tabelle1!$C$78:$C$82</c:f>
              <c:numCache>
                <c:formatCode>0.0%</c:formatCode>
                <c:ptCount val="5"/>
                <c:pt idx="0">
                  <c:v>0.44632469592808038</c:v>
                </c:pt>
                <c:pt idx="1">
                  <c:v>0.1872025383395029</c:v>
                </c:pt>
                <c:pt idx="2">
                  <c:v>4.1776837652035957E-2</c:v>
                </c:pt>
                <c:pt idx="3">
                  <c:v>0.17028027498677947</c:v>
                </c:pt>
                <c:pt idx="4">
                  <c:v>0.15441565309360128</c:v>
                </c:pt>
              </c:numCache>
            </c:numRef>
          </c:val>
        </c:ser>
        <c:dLbls>
          <c:showLegendKey val="0"/>
          <c:showVal val="1"/>
          <c:showCatName val="0"/>
          <c:showSerName val="0"/>
          <c:showPercent val="0"/>
          <c:showBubbleSize val="0"/>
        </c:dLbls>
        <c:gapWidth val="150"/>
        <c:overlap val="-25"/>
        <c:axId val="116771072"/>
        <c:axId val="176948352"/>
      </c:barChart>
      <c:catAx>
        <c:axId val="116771072"/>
        <c:scaling>
          <c:orientation val="minMax"/>
        </c:scaling>
        <c:delete val="0"/>
        <c:axPos val="l"/>
        <c:majorTickMark val="none"/>
        <c:minorTickMark val="none"/>
        <c:tickLblPos val="nextTo"/>
        <c:crossAx val="176948352"/>
        <c:crosses val="autoZero"/>
        <c:auto val="1"/>
        <c:lblAlgn val="ctr"/>
        <c:lblOffset val="100"/>
        <c:noMultiLvlLbl val="0"/>
      </c:catAx>
      <c:valAx>
        <c:axId val="176948352"/>
        <c:scaling>
          <c:orientation val="minMax"/>
        </c:scaling>
        <c:delete val="1"/>
        <c:axPos val="b"/>
        <c:numFmt formatCode="0.0%" sourceLinked="1"/>
        <c:majorTickMark val="out"/>
        <c:minorTickMark val="none"/>
        <c:tickLblPos val="nextTo"/>
        <c:crossAx val="116771072"/>
        <c:crosses val="autoZero"/>
        <c:crossBetween val="between"/>
      </c:valAx>
    </c:plotArea>
    <c:plotVisOnly val="1"/>
    <c:dispBlanksAs val="gap"/>
    <c:showDLblsOverMax val="0"/>
  </c:chart>
  <c:spPr>
    <a:ln>
      <a:noFill/>
    </a:ln>
  </c:spPr>
  <c:txPr>
    <a:bodyPr/>
    <a:lstStyle/>
    <a:p>
      <a:pPr>
        <a:defRPr>
          <a:latin typeface="Arial" pitchFamily="34" charset="0"/>
          <a:ea typeface="Verdana"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435847114855323E-2"/>
          <c:y val="0.14326626928643266"/>
          <c:w val="0.58009876425021345"/>
          <c:h val="0.71346726518998216"/>
        </c:manualLayout>
      </c:layout>
      <c:pieChart>
        <c:varyColors val="1"/>
        <c:ser>
          <c:idx val="0"/>
          <c:order val="0"/>
          <c:tx>
            <c:strRef>
              <c:f>Tabelle1!$F$60</c:f>
              <c:strCache>
                <c:ptCount val="1"/>
                <c:pt idx="0">
                  <c:v>Visiteurs:</c:v>
                </c:pt>
              </c:strCache>
            </c:strRef>
          </c:tx>
          <c:explosion val="25"/>
          <c:dLbls>
            <c:dLbl>
              <c:idx val="2"/>
              <c:tx>
                <c:rich>
                  <a:bodyPr/>
                  <a:lstStyle/>
                  <a:p>
                    <a:r>
                      <a:rPr lang="en-US"/>
                      <a:t>11%</a:t>
                    </a:r>
                  </a:p>
                </c:rich>
              </c:tx>
              <c:showLegendKey val="0"/>
              <c:showVal val="0"/>
              <c:showCatName val="0"/>
              <c:showSerName val="0"/>
              <c:showPercent val="1"/>
              <c:showBubbleSize val="0"/>
            </c:dLbl>
            <c:dLbl>
              <c:idx val="13"/>
              <c:tx>
                <c:rich>
                  <a:bodyPr/>
                  <a:lstStyle/>
                  <a:p>
                    <a:r>
                      <a:rPr lang="en-US"/>
                      <a:t>1%</a:t>
                    </a:r>
                  </a:p>
                </c:rich>
              </c:tx>
              <c:showLegendKey val="0"/>
              <c:showVal val="0"/>
              <c:showCatName val="0"/>
              <c:showSerName val="0"/>
              <c:showPercent val="1"/>
              <c:showBubbleSize val="0"/>
            </c:dLbl>
            <c:txPr>
              <a:bodyPr/>
              <a:lstStyle/>
              <a:p>
                <a:pPr>
                  <a:defRPr sz="1400" b="1">
                    <a:latin typeface="Arial" pitchFamily="34" charset="0"/>
                    <a:cs typeface="Arial" pitchFamily="34" charset="0"/>
                  </a:defRPr>
                </a:pPr>
                <a:endParaRPr lang="en-US"/>
              </a:p>
            </c:txPr>
            <c:showLegendKey val="0"/>
            <c:showVal val="0"/>
            <c:showCatName val="0"/>
            <c:showSerName val="0"/>
            <c:showPercent val="1"/>
            <c:showBubbleSize val="0"/>
            <c:showLeaderLines val="1"/>
          </c:dLbls>
          <c:cat>
            <c:strRef>
              <c:f>Tabelle1!$E$61:$E$74</c:f>
              <c:strCache>
                <c:ptCount val="14"/>
                <c:pt idx="0">
                  <c:v>Managing director</c:v>
                </c:pt>
                <c:pt idx="1">
                  <c:v>Maintenance engineer</c:v>
                </c:pt>
                <c:pt idx="2">
                  <c:v>Other</c:v>
                </c:pt>
                <c:pt idx="3">
                  <c:v>Technical manager</c:v>
                </c:pt>
                <c:pt idx="4">
                  <c:v>Student</c:v>
                </c:pt>
                <c:pt idx="5">
                  <c:v>Project manager</c:v>
                </c:pt>
                <c:pt idx="6">
                  <c:v>Sales and marketing director</c:v>
                </c:pt>
                <c:pt idx="7">
                  <c:v>Consultant</c:v>
                </c:pt>
                <c:pt idx="8">
                  <c:v>Purchasing manager</c:v>
                </c:pt>
                <c:pt idx="9">
                  <c:v>Teacher</c:v>
                </c:pt>
                <c:pt idx="10">
                  <c:v>Finance manager</c:v>
                </c:pt>
                <c:pt idx="11">
                  <c:v>Press</c:v>
                </c:pt>
                <c:pt idx="12">
                  <c:v>IT manager</c:v>
                </c:pt>
                <c:pt idx="13">
                  <c:v>IT production manager</c:v>
                </c:pt>
              </c:strCache>
            </c:strRef>
          </c:cat>
          <c:val>
            <c:numRef>
              <c:f>Tabelle1!$F$61:$F$74</c:f>
              <c:numCache>
                <c:formatCode>0.0%</c:formatCode>
                <c:ptCount val="14"/>
                <c:pt idx="0">
                  <c:v>0.2299794661190965</c:v>
                </c:pt>
                <c:pt idx="1">
                  <c:v>0.14117043121149897</c:v>
                </c:pt>
                <c:pt idx="2">
                  <c:v>0.11806981519507187</c:v>
                </c:pt>
                <c:pt idx="3">
                  <c:v>0.10728952772073921</c:v>
                </c:pt>
                <c:pt idx="4">
                  <c:v>0.10677618069815195</c:v>
                </c:pt>
                <c:pt idx="5">
                  <c:v>7.7002053388090352E-2</c:v>
                </c:pt>
                <c:pt idx="6">
                  <c:v>6.5708418891170434E-2</c:v>
                </c:pt>
                <c:pt idx="7">
                  <c:v>4.7227926078028747E-2</c:v>
                </c:pt>
                <c:pt idx="8">
                  <c:v>3.0800821355236138E-2</c:v>
                </c:pt>
                <c:pt idx="9">
                  <c:v>2.8747433264887063E-2</c:v>
                </c:pt>
                <c:pt idx="10">
                  <c:v>2.0020533880903489E-2</c:v>
                </c:pt>
                <c:pt idx="11">
                  <c:v>1.4887063655030801E-2</c:v>
                </c:pt>
                <c:pt idx="12">
                  <c:v>8.2135523613963042E-3</c:v>
                </c:pt>
                <c:pt idx="13">
                  <c:v>4.1067761806981521E-3</c:v>
                </c:pt>
              </c:numCache>
            </c:numRef>
          </c:val>
        </c:ser>
        <c:dLbls>
          <c:showLegendKey val="0"/>
          <c:showVal val="0"/>
          <c:showCatName val="0"/>
          <c:showSerName val="0"/>
          <c:showPercent val="1"/>
          <c:showBubbleSize val="0"/>
          <c:showLeaderLines val="1"/>
        </c:dLbls>
        <c:firstSliceAng val="277"/>
      </c:pieChart>
    </c:plotArea>
    <c:legend>
      <c:legendPos val="r"/>
      <c:overlay val="0"/>
      <c:txPr>
        <a:bodyPr/>
        <a:lstStyle/>
        <a:p>
          <a:pPr>
            <a:defRPr>
              <a:latin typeface="Arial" pitchFamily="34" charset="0"/>
              <a:cs typeface="Arial" pitchFamily="34" charset="0"/>
            </a:defRPr>
          </a:pPr>
          <a:endParaRPr lang="en-US"/>
        </a:p>
      </c:txPr>
    </c:legend>
    <c:plotVisOnly val="1"/>
    <c:dispBlanksAs val="gap"/>
    <c:showDLblsOverMax val="0"/>
  </c:chart>
  <c:spPr>
    <a:ln>
      <a:noFill/>
    </a:ln>
  </c:spPr>
  <c:txPr>
    <a:bodyPr/>
    <a:lstStyle/>
    <a:p>
      <a:pPr>
        <a:defRPr>
          <a:latin typeface="Verdana" pitchFamily="34" charset="0"/>
          <a:ea typeface="Verdana" pitchFamily="34" charset="0"/>
          <a:cs typeface="Verdana"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txPr>
              <a:bodyPr/>
              <a:lstStyle/>
              <a:p>
                <a:pPr>
                  <a:defRPr sz="1200" b="1"/>
                </a:pPr>
                <a:endParaRPr lang="en-US"/>
              </a:p>
            </c:txPr>
            <c:showLegendKey val="0"/>
            <c:showVal val="1"/>
            <c:showCatName val="0"/>
            <c:showSerName val="0"/>
            <c:showPercent val="0"/>
            <c:showBubbleSize val="0"/>
            <c:showLeaderLines val="0"/>
          </c:dLbls>
          <c:cat>
            <c:strRef>
              <c:f>Tabelle1!$E$30:$E$57</c:f>
              <c:strCache>
                <c:ptCount val="28"/>
                <c:pt idx="0">
                  <c:v>Furniture industry</c:v>
                </c:pt>
                <c:pt idx="1">
                  <c:v>Textile industry</c:v>
                </c:pt>
                <c:pt idx="2">
                  <c:v>Pharmaceutical and cosmetics industry</c:v>
                </c:pt>
                <c:pt idx="3">
                  <c:v>Banques et assurances</c:v>
                </c:pt>
                <c:pt idx="4">
                  <c:v>Health sector
</c:v>
                </c:pt>
                <c:pt idx="5">
                  <c:v>Tourism, hotels, hospitality</c:v>
                </c:pt>
                <c:pt idx="6">
                  <c:v>Agricultural sector</c:v>
                </c:pt>
                <c:pt idx="7">
                  <c:v>Automotive industry</c:v>
                </c:pt>
                <c:pt idx="8">
                  <c:v>Liberal professions</c:v>
                </c:pt>
                <c:pt idx="9">
                  <c:v>Chemical industry</c:v>
                </c:pt>
                <c:pt idx="10">
                  <c:v>Plastics industry</c:v>
                </c:pt>
                <c:pt idx="11">
                  <c:v>Renewable energy sector</c:v>
                </c:pt>
                <c:pt idx="12">
                  <c:v>Print, paper, packaging</c:v>
                </c:pt>
                <c:pt idx="13">
                  <c:v>Air conditioning, heating and ventilation</c:v>
                </c:pt>
                <c:pt idx="14">
                  <c:v>Water technology</c:v>
                </c:pt>
                <c:pt idx="15">
                  <c:v>Public works</c:v>
                </c:pt>
                <c:pt idx="16">
                  <c:v>Environmental technologies</c:v>
                </c:pt>
                <c:pt idx="17">
                  <c:v>Petrochemical</c:v>
                </c:pt>
                <c:pt idx="18">
                  <c:v>Food industry </c:v>
                </c:pt>
                <c:pt idx="19">
                  <c:v>Metal industry</c:v>
                </c:pt>
                <c:pt idx="20">
                  <c:v>Electrotechnics</c:v>
                </c:pt>
                <c:pt idx="21">
                  <c:v>Telecommunication and IT</c:v>
                </c:pt>
                <c:pt idx="22">
                  <c:v>Energy generators and operators</c:v>
                </c:pt>
                <c:pt idx="23">
                  <c:v>Public service</c:v>
                </c:pt>
                <c:pt idx="24">
                  <c:v>Services</c:v>
                </c:pt>
                <c:pt idx="25">
                  <c:v>Equipment and service suppliers</c:v>
                </c:pt>
                <c:pt idx="26">
                  <c:v>Training</c:v>
                </c:pt>
                <c:pt idx="27">
                  <c:v>Building sector and building technology</c:v>
                </c:pt>
              </c:strCache>
            </c:strRef>
          </c:cat>
          <c:val>
            <c:numRef>
              <c:f>Tabelle1!$F$30:$F$57</c:f>
              <c:numCache>
                <c:formatCode>0.0%</c:formatCode>
                <c:ptCount val="28"/>
                <c:pt idx="0">
                  <c:v>5.4163845633039944E-3</c:v>
                </c:pt>
                <c:pt idx="1">
                  <c:v>5.4163845633039944E-3</c:v>
                </c:pt>
                <c:pt idx="2">
                  <c:v>6.093432633716994E-3</c:v>
                </c:pt>
                <c:pt idx="3">
                  <c:v>7.4475287745429924E-3</c:v>
                </c:pt>
                <c:pt idx="4">
                  <c:v>7.4475287745429924E-3</c:v>
                </c:pt>
                <c:pt idx="5">
                  <c:v>7.4475287745429924E-3</c:v>
                </c:pt>
                <c:pt idx="6">
                  <c:v>8.124576844955992E-3</c:v>
                </c:pt>
                <c:pt idx="7">
                  <c:v>8.124576844955992E-3</c:v>
                </c:pt>
                <c:pt idx="8">
                  <c:v>1.0155721056194989E-2</c:v>
                </c:pt>
                <c:pt idx="9">
                  <c:v>1.1509817197020988E-2</c:v>
                </c:pt>
                <c:pt idx="10">
                  <c:v>1.2186865267433988E-2</c:v>
                </c:pt>
                <c:pt idx="11">
                  <c:v>1.2186865267433988E-2</c:v>
                </c:pt>
                <c:pt idx="12">
                  <c:v>1.4895057549085985E-2</c:v>
                </c:pt>
                <c:pt idx="13">
                  <c:v>1.6249153689911984E-2</c:v>
                </c:pt>
                <c:pt idx="14">
                  <c:v>1.6926201760324982E-2</c:v>
                </c:pt>
                <c:pt idx="15">
                  <c:v>1.963439404197698E-2</c:v>
                </c:pt>
                <c:pt idx="16">
                  <c:v>2.1665538253215978E-2</c:v>
                </c:pt>
                <c:pt idx="17">
                  <c:v>2.2342586323628979E-2</c:v>
                </c:pt>
                <c:pt idx="18">
                  <c:v>2.7758970886932972E-2</c:v>
                </c:pt>
                <c:pt idx="19">
                  <c:v>2.843601895734597E-2</c:v>
                </c:pt>
                <c:pt idx="20">
                  <c:v>3.4529451591062965E-2</c:v>
                </c:pt>
                <c:pt idx="21">
                  <c:v>4.8070412999322951E-2</c:v>
                </c:pt>
                <c:pt idx="22">
                  <c:v>6.2965470548408939E-2</c:v>
                </c:pt>
                <c:pt idx="23">
                  <c:v>7.8537576167907922E-2</c:v>
                </c:pt>
                <c:pt idx="24">
                  <c:v>9.4786729857819899E-2</c:v>
                </c:pt>
                <c:pt idx="25">
                  <c:v>0.11509817197020988</c:v>
                </c:pt>
                <c:pt idx="26">
                  <c:v>0.14218009478672985</c:v>
                </c:pt>
                <c:pt idx="27">
                  <c:v>0.15436696005416384</c:v>
                </c:pt>
              </c:numCache>
            </c:numRef>
          </c:val>
        </c:ser>
        <c:dLbls>
          <c:showLegendKey val="0"/>
          <c:showVal val="1"/>
          <c:showCatName val="0"/>
          <c:showSerName val="0"/>
          <c:showPercent val="0"/>
          <c:showBubbleSize val="0"/>
        </c:dLbls>
        <c:gapWidth val="150"/>
        <c:overlap val="-25"/>
        <c:axId val="176983040"/>
        <c:axId val="177006464"/>
      </c:barChart>
      <c:catAx>
        <c:axId val="176983040"/>
        <c:scaling>
          <c:orientation val="minMax"/>
        </c:scaling>
        <c:delete val="0"/>
        <c:axPos val="l"/>
        <c:majorTickMark val="none"/>
        <c:minorTickMark val="none"/>
        <c:tickLblPos val="nextTo"/>
        <c:txPr>
          <a:bodyPr/>
          <a:lstStyle/>
          <a:p>
            <a:pPr>
              <a:defRPr sz="1100"/>
            </a:pPr>
            <a:endParaRPr lang="en-US"/>
          </a:p>
        </c:txPr>
        <c:crossAx val="177006464"/>
        <c:crosses val="autoZero"/>
        <c:auto val="1"/>
        <c:lblAlgn val="ctr"/>
        <c:lblOffset val="100"/>
        <c:noMultiLvlLbl val="0"/>
      </c:catAx>
      <c:valAx>
        <c:axId val="177006464"/>
        <c:scaling>
          <c:orientation val="minMax"/>
        </c:scaling>
        <c:delete val="1"/>
        <c:axPos val="b"/>
        <c:numFmt formatCode="0.0%" sourceLinked="1"/>
        <c:majorTickMark val="out"/>
        <c:minorTickMark val="none"/>
        <c:tickLblPos val="nextTo"/>
        <c:crossAx val="176983040"/>
        <c:crosses val="autoZero"/>
        <c:crossBetween val="between"/>
      </c:valAx>
      <c:spPr>
        <a:ln>
          <a:noFill/>
        </a:ln>
      </c:spPr>
    </c:plotArea>
    <c:plotVisOnly val="1"/>
    <c:dispBlanksAs val="gap"/>
    <c:showDLblsOverMax val="0"/>
  </c:chart>
  <c:spPr>
    <a:ln>
      <a:noFill/>
    </a:ln>
  </c:spPr>
  <c:txPr>
    <a:bodyPr/>
    <a:lstStyle/>
    <a:p>
      <a:pPr>
        <a:defRPr>
          <a:latin typeface="Arial" pitchFamily="34" charset="0"/>
          <a:ea typeface="Verdana" pitchFamily="34" charset="0"/>
          <a:cs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bar"/>
        <c:grouping val="stacked"/>
        <c:varyColors val="0"/>
        <c:ser>
          <c:idx val="0"/>
          <c:order val="0"/>
          <c:tx>
            <c:strRef>
              <c:f>Tabelle2!$B$1</c:f>
              <c:strCache>
                <c:ptCount val="1"/>
                <c:pt idx="0">
                  <c:v>Yes</c:v>
                </c:pt>
              </c:strCache>
            </c:strRef>
          </c:tx>
          <c:invertIfNegative val="0"/>
          <c:dLbls>
            <c:dLbl>
              <c:idx val="9"/>
              <c:delete val="1"/>
            </c:dLbl>
            <c:txPr>
              <a:bodyPr/>
              <a:lstStyle/>
              <a:p>
                <a:pPr>
                  <a:defRPr sz="1200" b="1"/>
                </a:pPr>
                <a:endParaRPr lang="en-US"/>
              </a:p>
            </c:txPr>
            <c:showLegendKey val="0"/>
            <c:showVal val="1"/>
            <c:showCatName val="0"/>
            <c:showSerName val="0"/>
            <c:showPercent val="0"/>
            <c:showBubbleSize val="0"/>
            <c:showLeaderLines val="0"/>
          </c:dLbls>
          <c:cat>
            <c:strRef>
              <c:f>Tabelle2!$A$2:$A$13</c:f>
              <c:strCache>
                <c:ptCount val="12"/>
                <c:pt idx="0">
                  <c:v>update market place understading</c:v>
                </c:pt>
                <c:pt idx="1">
                  <c:v>orientation in the present market</c:v>
                </c:pt>
                <c:pt idx="2">
                  <c:v>check the competitive position</c:v>
                </c:pt>
                <c:pt idx="3">
                  <c:v>maintain business contacts</c:v>
                </c:pt>
                <c:pt idx="4">
                  <c:v>extend business contacts</c:v>
                </c:pt>
                <c:pt idx="5">
                  <c:v>raise degree of the company's popularity</c:v>
                </c:pt>
                <c:pt idx="6">
                  <c:v>raise degree of the product's popularity</c:v>
                </c:pt>
                <c:pt idx="7">
                  <c:v>maintain the distribution network</c:v>
                </c:pt>
                <c:pt idx="8">
                  <c:v>extend the distribution network</c:v>
                </c:pt>
                <c:pt idx="9">
                  <c:v>increase market share</c:v>
                </c:pt>
                <c:pt idx="10">
                  <c:v>test acceptance on the market</c:v>
                </c:pt>
                <c:pt idx="11">
                  <c:v>introduce product innovations</c:v>
                </c:pt>
              </c:strCache>
            </c:strRef>
          </c:cat>
          <c:val>
            <c:numRef>
              <c:f>Tabelle2!$B$2:$B$13</c:f>
              <c:numCache>
                <c:formatCode>0.0%</c:formatCode>
                <c:ptCount val="12"/>
                <c:pt idx="0">
                  <c:v>0.5</c:v>
                </c:pt>
                <c:pt idx="1">
                  <c:v>0.1875</c:v>
                </c:pt>
                <c:pt idx="2">
                  <c:v>0.33333333333333331</c:v>
                </c:pt>
                <c:pt idx="3">
                  <c:v>0.47058823529411764</c:v>
                </c:pt>
                <c:pt idx="4">
                  <c:v>0.36842105263157893</c:v>
                </c:pt>
                <c:pt idx="5">
                  <c:v>0.22222222222222221</c:v>
                </c:pt>
                <c:pt idx="6">
                  <c:v>0.2</c:v>
                </c:pt>
                <c:pt idx="7">
                  <c:v>0.375</c:v>
                </c:pt>
                <c:pt idx="8">
                  <c:v>9.0909090909090912E-2</c:v>
                </c:pt>
                <c:pt idx="9">
                  <c:v>0</c:v>
                </c:pt>
                <c:pt idx="10">
                  <c:v>0.23076923076923078</c:v>
                </c:pt>
                <c:pt idx="11">
                  <c:v>0.15384615384615385</c:v>
                </c:pt>
              </c:numCache>
            </c:numRef>
          </c:val>
        </c:ser>
        <c:ser>
          <c:idx val="1"/>
          <c:order val="1"/>
          <c:tx>
            <c:strRef>
              <c:f>Tabelle2!$C$1</c:f>
              <c:strCache>
                <c:ptCount val="1"/>
                <c:pt idx="0">
                  <c:v>Partially</c:v>
                </c:pt>
              </c:strCache>
            </c:strRef>
          </c:tx>
          <c:invertIfNegative val="0"/>
          <c:dLbls>
            <c:txPr>
              <a:bodyPr/>
              <a:lstStyle/>
              <a:p>
                <a:pPr>
                  <a:defRPr sz="1200" b="1"/>
                </a:pPr>
                <a:endParaRPr lang="en-US"/>
              </a:p>
            </c:txPr>
            <c:showLegendKey val="0"/>
            <c:showVal val="1"/>
            <c:showCatName val="0"/>
            <c:showSerName val="0"/>
            <c:showPercent val="0"/>
            <c:showBubbleSize val="0"/>
            <c:showLeaderLines val="0"/>
          </c:dLbls>
          <c:cat>
            <c:strRef>
              <c:f>Tabelle2!$A$2:$A$13</c:f>
              <c:strCache>
                <c:ptCount val="12"/>
                <c:pt idx="0">
                  <c:v>update market place understading</c:v>
                </c:pt>
                <c:pt idx="1">
                  <c:v>orientation in the present market</c:v>
                </c:pt>
                <c:pt idx="2">
                  <c:v>check the competitive position</c:v>
                </c:pt>
                <c:pt idx="3">
                  <c:v>maintain business contacts</c:v>
                </c:pt>
                <c:pt idx="4">
                  <c:v>extend business contacts</c:v>
                </c:pt>
                <c:pt idx="5">
                  <c:v>raise degree of the company's popularity</c:v>
                </c:pt>
                <c:pt idx="6">
                  <c:v>raise degree of the product's popularity</c:v>
                </c:pt>
                <c:pt idx="7">
                  <c:v>maintain the distribution network</c:v>
                </c:pt>
                <c:pt idx="8">
                  <c:v>extend the distribution network</c:v>
                </c:pt>
                <c:pt idx="9">
                  <c:v>increase market share</c:v>
                </c:pt>
                <c:pt idx="10">
                  <c:v>test acceptance on the market</c:v>
                </c:pt>
                <c:pt idx="11">
                  <c:v>introduce product innovations</c:v>
                </c:pt>
              </c:strCache>
            </c:strRef>
          </c:cat>
          <c:val>
            <c:numRef>
              <c:f>Tabelle2!$C$2:$C$13</c:f>
              <c:numCache>
                <c:formatCode>0.0%</c:formatCode>
                <c:ptCount val="12"/>
                <c:pt idx="0">
                  <c:v>0.5</c:v>
                </c:pt>
                <c:pt idx="1">
                  <c:v>0.75</c:v>
                </c:pt>
                <c:pt idx="2">
                  <c:v>0.66666666666666663</c:v>
                </c:pt>
                <c:pt idx="3">
                  <c:v>0.35294117647058826</c:v>
                </c:pt>
                <c:pt idx="4">
                  <c:v>0.52631578947368418</c:v>
                </c:pt>
                <c:pt idx="5">
                  <c:v>0.66666666666666663</c:v>
                </c:pt>
                <c:pt idx="6">
                  <c:v>0.66666666666666663</c:v>
                </c:pt>
                <c:pt idx="7">
                  <c:v>0.625</c:v>
                </c:pt>
                <c:pt idx="8">
                  <c:v>0.72727272727272729</c:v>
                </c:pt>
                <c:pt idx="9">
                  <c:v>0.77777777777777779</c:v>
                </c:pt>
                <c:pt idx="10">
                  <c:v>0.76923076923076927</c:v>
                </c:pt>
                <c:pt idx="11">
                  <c:v>0.76923076923076927</c:v>
                </c:pt>
              </c:numCache>
            </c:numRef>
          </c:val>
        </c:ser>
        <c:dLbls>
          <c:showLegendKey val="0"/>
          <c:showVal val="1"/>
          <c:showCatName val="0"/>
          <c:showSerName val="0"/>
          <c:showPercent val="0"/>
          <c:showBubbleSize val="0"/>
        </c:dLbls>
        <c:gapWidth val="75"/>
        <c:overlap val="100"/>
        <c:axId val="177355008"/>
        <c:axId val="177356800"/>
      </c:barChart>
      <c:catAx>
        <c:axId val="177355008"/>
        <c:scaling>
          <c:orientation val="minMax"/>
        </c:scaling>
        <c:delete val="0"/>
        <c:axPos val="l"/>
        <c:majorTickMark val="none"/>
        <c:minorTickMark val="none"/>
        <c:tickLblPos val="nextTo"/>
        <c:crossAx val="177356800"/>
        <c:crosses val="autoZero"/>
        <c:auto val="1"/>
        <c:lblAlgn val="ctr"/>
        <c:lblOffset val="100"/>
        <c:noMultiLvlLbl val="0"/>
      </c:catAx>
      <c:valAx>
        <c:axId val="177356800"/>
        <c:scaling>
          <c:orientation val="minMax"/>
          <c:max val="1"/>
        </c:scaling>
        <c:delete val="1"/>
        <c:axPos val="b"/>
        <c:numFmt formatCode="0.0%" sourceLinked="1"/>
        <c:majorTickMark val="none"/>
        <c:minorTickMark val="none"/>
        <c:tickLblPos val="nextTo"/>
        <c:crossAx val="177355008"/>
        <c:crosses val="autoZero"/>
        <c:crossBetween val="between"/>
      </c:valAx>
    </c:plotArea>
    <c:legend>
      <c:legendPos val="b"/>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pieChart>
        <c:varyColors val="1"/>
        <c:ser>
          <c:idx val="0"/>
          <c:order val="0"/>
          <c:explosion val="13"/>
          <c:dLbls>
            <c:dLbl>
              <c:idx val="0"/>
              <c:layout>
                <c:manualLayout>
                  <c:x val="4.262904636920385E-3"/>
                  <c:y val="0.18055555555555555"/>
                </c:manualLayout>
              </c:layout>
              <c:showLegendKey val="0"/>
              <c:showVal val="0"/>
              <c:showCatName val="1"/>
              <c:showSerName val="0"/>
              <c:showPercent val="1"/>
              <c:showBubbleSize val="0"/>
            </c:dLbl>
            <c:dLbl>
              <c:idx val="1"/>
              <c:layout>
                <c:manualLayout>
                  <c:x val="5.4573490813648292E-3"/>
                  <c:y val="-0.1638425925925926"/>
                </c:manualLayout>
              </c:layout>
              <c:showLegendKey val="0"/>
              <c:showVal val="0"/>
              <c:showCatName val="1"/>
              <c:showSerName val="0"/>
              <c:showPercent val="1"/>
              <c:showBubbleSize val="0"/>
            </c:dLbl>
            <c:txPr>
              <a:bodyPr/>
              <a:lstStyle/>
              <a:p>
                <a:pPr>
                  <a:defRPr sz="1200" b="1">
                    <a:latin typeface="Arial" pitchFamily="34" charset="0"/>
                    <a:cs typeface="Arial" pitchFamily="34" charset="0"/>
                  </a:defRPr>
                </a:pPr>
                <a:endParaRPr lang="en-US"/>
              </a:p>
            </c:txPr>
            <c:showLegendKey val="0"/>
            <c:showVal val="0"/>
            <c:showCatName val="1"/>
            <c:showSerName val="0"/>
            <c:showPercent val="1"/>
            <c:showBubbleSize val="0"/>
            <c:showLeaderLines val="1"/>
          </c:dLbls>
          <c:cat>
            <c:strRef>
              <c:f>Tabelle4!$C$2:$D$2</c:f>
              <c:strCache>
                <c:ptCount val="2"/>
                <c:pt idx="0">
                  <c:v>yes </c:v>
                </c:pt>
                <c:pt idx="1">
                  <c:v>no</c:v>
                </c:pt>
              </c:strCache>
            </c:strRef>
          </c:cat>
          <c:val>
            <c:numRef>
              <c:f>Tabelle4!$C$3:$D$3</c:f>
              <c:numCache>
                <c:formatCode>0%</c:formatCode>
                <c:ptCount val="2"/>
                <c:pt idx="0">
                  <c:v>0.74</c:v>
                </c:pt>
                <c:pt idx="1">
                  <c:v>0.26</c:v>
                </c:pt>
              </c:numCache>
            </c:numRef>
          </c:val>
        </c:ser>
        <c:dLbls>
          <c:showLegendKey val="0"/>
          <c:showVal val="0"/>
          <c:showCatName val="1"/>
          <c:showSerName val="0"/>
          <c:showPercent val="1"/>
          <c:showBubbleSize val="0"/>
          <c:showLeaderLines val="1"/>
        </c:dLbls>
        <c:firstSliceAng val="217"/>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dLbls>
            <c:txPr>
              <a:bodyPr/>
              <a:lstStyle/>
              <a:p>
                <a:pPr>
                  <a:defRPr sz="1100" b="1"/>
                </a:pPr>
                <a:endParaRPr lang="en-US"/>
              </a:p>
            </c:txPr>
            <c:showLegendKey val="0"/>
            <c:showVal val="1"/>
            <c:showCatName val="0"/>
            <c:showSerName val="0"/>
            <c:showPercent val="0"/>
            <c:showBubbleSize val="0"/>
            <c:showLeaderLines val="0"/>
          </c:dLbls>
          <c:cat>
            <c:strRef>
              <c:f>Tabelle1!$A$2:$A$8</c:f>
              <c:strCache>
                <c:ptCount val="7"/>
                <c:pt idx="0">
                  <c:v>With the number of visitors</c:v>
                </c:pt>
                <c:pt idx="1">
                  <c:v>With the number of visitors at the stand</c:v>
                </c:pt>
                <c:pt idx="2">
                  <c:v>With the quality of visitor contacts</c:v>
                </c:pt>
                <c:pt idx="3">
                  <c:v>With the business contacts initiated</c:v>
                </c:pt>
                <c:pt idx="4">
                  <c:v>With the chances of business after the fair</c:v>
                </c:pt>
                <c:pt idx="5">
                  <c:v>With the presence of the fair  in the Algerian media</c:v>
                </c:pt>
                <c:pt idx="6">
                  <c:v>With the whole fair</c:v>
                </c:pt>
              </c:strCache>
            </c:strRef>
          </c:cat>
          <c:val>
            <c:numRef>
              <c:f>Tabelle1!$B$2:$B$8</c:f>
              <c:numCache>
                <c:formatCode>0%</c:formatCode>
                <c:ptCount val="7"/>
                <c:pt idx="0">
                  <c:v>0.65384615384615385</c:v>
                </c:pt>
                <c:pt idx="1">
                  <c:v>0.57692307692307687</c:v>
                </c:pt>
                <c:pt idx="2">
                  <c:v>0.76923076923076916</c:v>
                </c:pt>
                <c:pt idx="3">
                  <c:v>0.73076923076923073</c:v>
                </c:pt>
                <c:pt idx="4">
                  <c:v>0.73076923076923073</c:v>
                </c:pt>
                <c:pt idx="5">
                  <c:v>0.65384615384615385</c:v>
                </c:pt>
                <c:pt idx="6">
                  <c:v>0.69230769230769229</c:v>
                </c:pt>
              </c:numCache>
            </c:numRef>
          </c:val>
        </c:ser>
        <c:dLbls>
          <c:showLegendKey val="0"/>
          <c:showVal val="1"/>
          <c:showCatName val="0"/>
          <c:showSerName val="0"/>
          <c:showPercent val="0"/>
          <c:showBubbleSize val="0"/>
        </c:dLbls>
        <c:gapWidth val="150"/>
        <c:overlap val="-25"/>
        <c:axId val="177400448"/>
        <c:axId val="74518912"/>
      </c:barChart>
      <c:catAx>
        <c:axId val="177400448"/>
        <c:scaling>
          <c:orientation val="minMax"/>
        </c:scaling>
        <c:delete val="0"/>
        <c:axPos val="l"/>
        <c:majorTickMark val="none"/>
        <c:minorTickMark val="none"/>
        <c:tickLblPos val="nextTo"/>
        <c:txPr>
          <a:bodyPr/>
          <a:lstStyle/>
          <a:p>
            <a:pPr>
              <a:defRPr sz="900"/>
            </a:pPr>
            <a:endParaRPr lang="en-US"/>
          </a:p>
        </c:txPr>
        <c:crossAx val="74518912"/>
        <c:crosses val="autoZero"/>
        <c:auto val="1"/>
        <c:lblAlgn val="ctr"/>
        <c:lblOffset val="100"/>
        <c:noMultiLvlLbl val="0"/>
      </c:catAx>
      <c:valAx>
        <c:axId val="74518912"/>
        <c:scaling>
          <c:orientation val="minMax"/>
        </c:scaling>
        <c:delete val="1"/>
        <c:axPos val="b"/>
        <c:numFmt formatCode="0%" sourceLinked="1"/>
        <c:majorTickMark val="out"/>
        <c:minorTickMark val="none"/>
        <c:tickLblPos val="nextTo"/>
        <c:crossAx val="177400448"/>
        <c:crosses val="autoZero"/>
        <c:crossBetween val="between"/>
      </c:valAx>
      <c:spPr>
        <a:ln>
          <a:noFill/>
        </a:ln>
      </c:spPr>
    </c:plotArea>
    <c:plotVisOnly val="1"/>
    <c:dispBlanksAs val="gap"/>
    <c:showDLblsOverMax val="0"/>
  </c:chart>
  <c:spPr>
    <a:ln>
      <a:noFill/>
    </a:ln>
  </c:spPr>
  <c:txPr>
    <a:bodyPr/>
    <a:lstStyle/>
    <a:p>
      <a:pPr>
        <a:defRPr>
          <a:latin typeface="Arial" pitchFamily="34" charset="0"/>
          <a:ea typeface="Verdana" pitchFamily="34" charset="0"/>
          <a:cs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46335071129807404"/>
          <c:y val="5.0925925925925923E-2"/>
          <c:w val="0.53664923828965827"/>
          <c:h val="0.89814814814814814"/>
        </c:manualLayout>
      </c:layout>
      <c:barChart>
        <c:barDir val="bar"/>
        <c:grouping val="stacked"/>
        <c:varyColors val="0"/>
        <c:ser>
          <c:idx val="0"/>
          <c:order val="0"/>
          <c:invertIfNegative val="0"/>
          <c:dLbls>
            <c:txPr>
              <a:bodyPr/>
              <a:lstStyle/>
              <a:p>
                <a:pPr>
                  <a:defRPr sz="1200" b="1"/>
                </a:pPr>
                <a:endParaRPr lang="en-US"/>
              </a:p>
            </c:txPr>
            <c:showLegendKey val="0"/>
            <c:showVal val="1"/>
            <c:showCatName val="0"/>
            <c:showSerName val="0"/>
            <c:showPercent val="0"/>
            <c:showBubbleSize val="0"/>
            <c:showLeaderLines val="0"/>
          </c:dLbls>
          <c:cat>
            <c:strRef>
              <c:f>Tabelle5!$A$3:$A$4</c:f>
              <c:strCache>
                <c:ptCount val="2"/>
                <c:pt idx="0">
                  <c:v>With the information supply by the organisers, the exhibitors are</c:v>
                </c:pt>
                <c:pt idx="1">
                  <c:v>With the services of the organisers, the exhibitors are</c:v>
                </c:pt>
              </c:strCache>
            </c:strRef>
          </c:cat>
          <c:val>
            <c:numRef>
              <c:f>Tabelle5!$B$3:$B$4</c:f>
              <c:numCache>
                <c:formatCode>0%</c:formatCode>
                <c:ptCount val="2"/>
                <c:pt idx="0">
                  <c:v>0.88</c:v>
                </c:pt>
                <c:pt idx="1">
                  <c:v>1</c:v>
                </c:pt>
              </c:numCache>
            </c:numRef>
          </c:val>
        </c:ser>
        <c:dLbls>
          <c:showLegendKey val="0"/>
          <c:showVal val="1"/>
          <c:showCatName val="0"/>
          <c:showSerName val="0"/>
          <c:showPercent val="0"/>
          <c:showBubbleSize val="0"/>
        </c:dLbls>
        <c:gapWidth val="95"/>
        <c:overlap val="100"/>
        <c:axId val="74521984"/>
        <c:axId val="74540544"/>
      </c:barChart>
      <c:catAx>
        <c:axId val="74521984"/>
        <c:scaling>
          <c:orientation val="minMax"/>
        </c:scaling>
        <c:delete val="0"/>
        <c:axPos val="l"/>
        <c:majorTickMark val="none"/>
        <c:minorTickMark val="none"/>
        <c:tickLblPos val="nextTo"/>
        <c:txPr>
          <a:bodyPr/>
          <a:lstStyle/>
          <a:p>
            <a:pPr>
              <a:defRPr sz="900"/>
            </a:pPr>
            <a:endParaRPr lang="en-US"/>
          </a:p>
        </c:txPr>
        <c:crossAx val="74540544"/>
        <c:crosses val="autoZero"/>
        <c:auto val="1"/>
        <c:lblAlgn val="ctr"/>
        <c:lblOffset val="100"/>
        <c:noMultiLvlLbl val="0"/>
      </c:catAx>
      <c:valAx>
        <c:axId val="74540544"/>
        <c:scaling>
          <c:orientation val="minMax"/>
          <c:min val="0"/>
        </c:scaling>
        <c:delete val="1"/>
        <c:axPos val="b"/>
        <c:numFmt formatCode="0%" sourceLinked="1"/>
        <c:majorTickMark val="out"/>
        <c:minorTickMark val="none"/>
        <c:tickLblPos val="nextTo"/>
        <c:crossAx val="74521984"/>
        <c:crosses val="autoZero"/>
        <c:crossBetween val="between"/>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B0B1-2A72-409B-A9EB-D3982E9A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753</Words>
  <Characters>4294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Rzepka</dc:creator>
  <cp:lastModifiedBy>Dominik Rzepka</cp:lastModifiedBy>
  <cp:revision>3</cp:revision>
  <cp:lastPrinted>2011-12-20T11:24:00Z</cp:lastPrinted>
  <dcterms:created xsi:type="dcterms:W3CDTF">2012-06-26T07:12:00Z</dcterms:created>
  <dcterms:modified xsi:type="dcterms:W3CDTF">2012-06-26T09:04:00Z</dcterms:modified>
</cp:coreProperties>
</file>