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3B" w:rsidRPr="00E56B57" w:rsidRDefault="00A9188F" w:rsidP="00BC1C2D">
      <w:pPr>
        <w:tabs>
          <w:tab w:val="left" w:pos="1335"/>
        </w:tabs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  <w:r w:rsidRPr="00E56B57">
        <w:rPr>
          <w:rFonts w:ascii="Arial" w:hAnsi="Arial" w:cs="Arial"/>
          <w:b/>
          <w:sz w:val="28"/>
          <w:szCs w:val="28"/>
          <w:lang w:val="fr-FR"/>
        </w:rPr>
        <w:t>Bilan</w:t>
      </w:r>
      <w:r w:rsidR="008E7C05" w:rsidRPr="00E56B57">
        <w:rPr>
          <w:rFonts w:ascii="Arial" w:hAnsi="Arial" w:cs="Arial"/>
          <w:b/>
          <w:sz w:val="28"/>
          <w:szCs w:val="28"/>
          <w:lang w:val="fr-FR"/>
        </w:rPr>
        <w:t xml:space="preserve"> 2012</w:t>
      </w:r>
    </w:p>
    <w:p w:rsidR="00842A3B" w:rsidRPr="00E56B57" w:rsidRDefault="00842A3B" w:rsidP="00BC1C2D">
      <w:pPr>
        <w:tabs>
          <w:tab w:val="left" w:pos="1335"/>
        </w:tabs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</w:p>
    <w:p w:rsidR="002F51E3" w:rsidRPr="00E56B57" w:rsidRDefault="00E56B57" w:rsidP="00E56B57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lang w:val="fr-FR"/>
        </w:rPr>
      </w:pPr>
      <w:r w:rsidRPr="00E56B57">
        <w:rPr>
          <w:rFonts w:ascii="Arial" w:hAnsi="Arial" w:cs="Arial"/>
          <w:b/>
          <w:color w:val="000000"/>
          <w:lang w:val="fr-FR"/>
        </w:rPr>
        <w:t>« Pour un</w:t>
      </w:r>
      <w:r w:rsidR="000654B9">
        <w:rPr>
          <w:rFonts w:ascii="Arial" w:hAnsi="Arial" w:cs="Arial"/>
          <w:b/>
          <w:color w:val="000000"/>
          <w:lang w:val="fr-FR"/>
        </w:rPr>
        <w:t xml:space="preserve"> partenariat gagnant-gagnant »</w:t>
      </w:r>
      <w:r>
        <w:rPr>
          <w:rFonts w:ascii="Arial" w:hAnsi="Arial" w:cs="Arial"/>
          <w:b/>
          <w:color w:val="000000"/>
          <w:lang w:val="fr-FR"/>
        </w:rPr>
        <w:t xml:space="preserve"> - </w:t>
      </w:r>
      <w:r w:rsidRPr="00E56B57">
        <w:rPr>
          <w:rFonts w:ascii="Arial" w:hAnsi="Arial" w:cs="Arial"/>
          <w:b/>
          <w:color w:val="000000"/>
          <w:lang w:val="fr-FR"/>
        </w:rPr>
        <w:t xml:space="preserve">Le </w:t>
      </w:r>
      <w:r w:rsidR="000654B9">
        <w:rPr>
          <w:rFonts w:ascii="Arial" w:hAnsi="Arial" w:cs="Arial"/>
          <w:b/>
          <w:color w:val="000000"/>
          <w:lang w:val="fr-FR"/>
        </w:rPr>
        <w:t>M</w:t>
      </w:r>
      <w:r w:rsidRPr="00E56B57">
        <w:rPr>
          <w:rFonts w:ascii="Arial" w:hAnsi="Arial" w:cs="Arial"/>
          <w:b/>
          <w:color w:val="000000"/>
          <w:lang w:val="fr-FR"/>
        </w:rPr>
        <w:t>inistère de l’Energie et des Mines appuie fortement</w:t>
      </w:r>
      <w:r>
        <w:rPr>
          <w:rFonts w:ascii="Arial" w:hAnsi="Arial" w:cs="Arial"/>
          <w:b/>
          <w:color w:val="000000"/>
          <w:lang w:val="fr-FR"/>
        </w:rPr>
        <w:t xml:space="preserve">  </w:t>
      </w:r>
      <w:proofErr w:type="spellStart"/>
      <w:r>
        <w:rPr>
          <w:rFonts w:ascii="Arial" w:hAnsi="Arial" w:cs="Arial"/>
          <w:b/>
          <w:color w:val="000000"/>
          <w:lang w:val="fr-FR"/>
        </w:rPr>
        <w:t>electro</w:t>
      </w:r>
      <w:proofErr w:type="spellEnd"/>
      <w:r>
        <w:rPr>
          <w:rFonts w:ascii="Arial" w:hAnsi="Arial" w:cs="Arial"/>
          <w:b/>
          <w:color w:val="000000"/>
          <w:lang w:val="fr-FR"/>
        </w:rPr>
        <w:t>, automation &amp; energy</w:t>
      </w:r>
    </w:p>
    <w:p w:rsidR="00EE046B" w:rsidRPr="00E56B57" w:rsidRDefault="00EE046B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812"/>
        <w:gridCol w:w="3969"/>
      </w:tblGrid>
      <w:tr w:rsidR="009512E0" w:rsidRPr="00340BD9" w:rsidTr="005E2C06">
        <w:trPr>
          <w:trHeight w:val="2483"/>
        </w:trPr>
        <w:tc>
          <w:tcPr>
            <w:tcW w:w="4541" w:type="dxa"/>
          </w:tcPr>
          <w:p w:rsidR="001A2B26" w:rsidRPr="00E56B57" w:rsidRDefault="00E56B57" w:rsidP="00BC1C2D">
            <w:pPr>
              <w:tabs>
                <w:tab w:val="left" w:pos="1335"/>
                <w:tab w:val="left" w:pos="594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56B5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« Dans 20 ans, l’objectif est de produire 40 % de notre électricité à partir du solaire et de l’éolien. Pour le réaliser, l’Algérie aura besoin de partenaires qui maîtrisent les technologies dans ces domaines et qui contribuent à la transmission de leur savoir-faire. J’estime donc que la question du partenariat est inéluctable » souligne le directeur des énergies renouvelables et de la maîtrise de l’énergie au </w:t>
            </w:r>
            <w:r w:rsidR="000654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</w:t>
            </w:r>
            <w:r w:rsidRPr="00E56B5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inistère de l’Energie et des Mines, M. Lakhdar </w:t>
            </w:r>
            <w:proofErr w:type="spellStart"/>
            <w:r w:rsidRPr="00E56B5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Benmazouz</w:t>
            </w:r>
            <w:proofErr w:type="spellEnd"/>
            <w:r w:rsidRPr="00E56B5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dans son discours d'ouverture du salon </w:t>
            </w:r>
            <w:proofErr w:type="spellStart"/>
            <w:r w:rsidRPr="00E56B5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electro</w:t>
            </w:r>
            <w:proofErr w:type="spellEnd"/>
            <w:r w:rsidRPr="00E56B5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automation &amp; energy 2012 le 06 mai 2012.</w:t>
            </w:r>
          </w:p>
          <w:p w:rsidR="001A2B26" w:rsidRPr="00E56B57" w:rsidRDefault="001A2B26" w:rsidP="00BC1C2D">
            <w:pPr>
              <w:tabs>
                <w:tab w:val="left" w:pos="1335"/>
                <w:tab w:val="left" w:pos="594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1A2B26" w:rsidRDefault="00B41F5D" w:rsidP="00BC1C2D">
            <w:pPr>
              <w:tabs>
                <w:tab w:val="left" w:pos="1335"/>
                <w:tab w:val="left" w:pos="594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Après quatre jours d'intenses activités et de rencontres prometteuses, Kahina Behloul, manager fairtrade Algérie, fait le bilan : « Avec 1948 visiteurs enregistrés de 18 pays venus discuter affaires avec nombreux exposants de 12 pays, le </w:t>
            </w:r>
            <w:r w:rsidR="000654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alon </w:t>
            </w:r>
            <w:proofErr w:type="spellStart"/>
            <w:r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electro</w:t>
            </w:r>
            <w:proofErr w:type="spellEnd"/>
            <w:r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automation &amp; energy a confirmé son statut, de plus important événement en Algérie sur les énergies renouvelables et sur l'efficacité énergétique. » </w:t>
            </w:r>
          </w:p>
          <w:p w:rsidR="00B41F5D" w:rsidRPr="00B41F5D" w:rsidRDefault="00B41F5D" w:rsidP="00BC1C2D">
            <w:pPr>
              <w:tabs>
                <w:tab w:val="left" w:pos="1335"/>
                <w:tab w:val="left" w:pos="594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2F51E3" w:rsidRPr="00B41F5D" w:rsidRDefault="00B41F5D" w:rsidP="001B5905">
            <w:pPr>
              <w:tabs>
                <w:tab w:val="left" w:pos="1335"/>
                <w:tab w:val="left" w:pos="594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 riche programme de conférences sur les énergies renouvelables et sur l’efficacité énergétique avait été également proposé durant l’événement. Le Ministère de l’Energie et des Mines a fortement soutenu l'évènement. Ce soutien a également rendu possible la participation  à titre d'exposants de NEAL-New Energy Algérie, CDER, CEEG, CREDEG et l'APRUE</w:t>
            </w:r>
            <w:r w:rsidR="000654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  <w:r w:rsidR="000654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L'Agence Nationale Algérienne pour la Promotion et la Rationalisation de l'Utilisation de l’Energie et aussi leur participation aux conférences organisées parallèlement au salon </w:t>
            </w:r>
            <w:proofErr w:type="spellStart"/>
            <w:r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electro</w:t>
            </w:r>
            <w:proofErr w:type="spellEnd"/>
            <w:r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automation &amp; energy  2012.</w:t>
            </w:r>
          </w:p>
        </w:tc>
        <w:tc>
          <w:tcPr>
            <w:tcW w:w="812" w:type="dxa"/>
          </w:tcPr>
          <w:p w:rsidR="00842A3B" w:rsidRPr="00B41F5D" w:rsidRDefault="00842A3B" w:rsidP="00BC1C2D">
            <w:pPr>
              <w:tabs>
                <w:tab w:val="left" w:pos="1335"/>
                <w:tab w:val="left" w:pos="594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3924E6" w:rsidRPr="00B41F5D" w:rsidRDefault="003924E6" w:rsidP="00BC1C2D">
            <w:pPr>
              <w:tabs>
                <w:tab w:val="left" w:pos="1335"/>
                <w:tab w:val="left" w:pos="594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:rsidR="00842A3B" w:rsidRPr="00340BD9" w:rsidRDefault="00315BD4" w:rsidP="00BC1C2D">
            <w:pPr>
              <w:tabs>
                <w:tab w:val="left" w:pos="1335"/>
                <w:tab w:val="left" w:pos="594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40BD9">
              <w:rPr>
                <w:noProof/>
                <w:lang w:val="en-GB" w:eastAsia="en-GB"/>
              </w:rPr>
              <w:drawing>
                <wp:inline distT="0" distB="0" distL="0" distR="0" wp14:anchorId="68CC75B1" wp14:editId="06CBF8AC">
                  <wp:extent cx="2316633" cy="1542910"/>
                  <wp:effectExtent l="0" t="0" r="7620" b="63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633" cy="154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5D2B" w:rsidRDefault="00C95D2B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5905" w:rsidRDefault="001B5905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5905" w:rsidRPr="00340BD9" w:rsidRDefault="001B5905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95D2B" w:rsidRDefault="003924E6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0BD9">
              <w:rPr>
                <w:noProof/>
                <w:lang w:val="en-GB" w:eastAsia="en-GB"/>
              </w:rPr>
              <w:drawing>
                <wp:inline distT="0" distB="0" distL="0" distR="0" wp14:anchorId="1719217A" wp14:editId="3A260E00">
                  <wp:extent cx="2368061" cy="1575740"/>
                  <wp:effectExtent l="0" t="0" r="0" b="571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2011\ElecEner 2011\Media\Fotos\fotographe individuel mme ouar_22112011\DSC_0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061" cy="15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905" w:rsidRDefault="001B5905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5905" w:rsidRDefault="001B5905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5905" w:rsidRPr="00340BD9" w:rsidRDefault="001B5905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50026" w:rsidRPr="00340BD9" w:rsidRDefault="003924E6" w:rsidP="00BC1C2D">
            <w:pPr>
              <w:tabs>
                <w:tab w:val="left" w:pos="1335"/>
                <w:tab w:val="left" w:pos="5940"/>
              </w:tabs>
              <w:spacing w:line="276" w:lineRule="auto"/>
              <w:ind w:left="-479" w:firstLine="479"/>
              <w:jc w:val="center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435F40" wp14:editId="47A9D19F">
                  <wp:extent cx="2383155" cy="15875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ctro2012_DSC638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DC8" w:rsidRPr="00340BD9" w:rsidRDefault="00B86DC8" w:rsidP="00BC1C2D">
            <w:pPr>
              <w:tabs>
                <w:tab w:val="left" w:pos="459"/>
                <w:tab w:val="left" w:pos="5940"/>
              </w:tabs>
              <w:spacing w:line="276" w:lineRule="auto"/>
              <w:ind w:right="-45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C1F2B" w:rsidRDefault="000C1F2B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0C1F2B" w:rsidRDefault="000C1F2B">
      <w:pPr>
        <w:spacing w:after="200" w:line="276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br w:type="page"/>
      </w:r>
    </w:p>
    <w:p w:rsidR="008F12A3" w:rsidRPr="00340BD9" w:rsidRDefault="00B41F5D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proofErr w:type="gramStart"/>
      <w:r w:rsidRPr="00B41F5D">
        <w:rPr>
          <w:rFonts w:ascii="Arial" w:hAnsi="Arial" w:cs="Arial"/>
          <w:b/>
          <w:color w:val="000000"/>
          <w:lang w:val="en-US"/>
        </w:rPr>
        <w:lastRenderedPageBreak/>
        <w:t>Témoignages</w:t>
      </w:r>
      <w:proofErr w:type="spellEnd"/>
      <w:r w:rsidRPr="00B41F5D">
        <w:rPr>
          <w:rFonts w:ascii="Arial" w:hAnsi="Arial" w:cs="Arial"/>
          <w:b/>
          <w:color w:val="000000"/>
          <w:lang w:val="en-US"/>
        </w:rPr>
        <w:t xml:space="preserve"> </w:t>
      </w:r>
      <w:r w:rsidR="000654B9">
        <w:rPr>
          <w:rFonts w:ascii="Arial" w:hAnsi="Arial" w:cs="Arial"/>
          <w:b/>
          <w:color w:val="000000"/>
          <w:lang w:val="en-US"/>
        </w:rPr>
        <w:t>:</w:t>
      </w:r>
      <w:proofErr w:type="gramEnd"/>
    </w:p>
    <w:p w:rsidR="008F12A3" w:rsidRPr="00340BD9" w:rsidRDefault="008F12A3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lang w:val="en-US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E679E6" w:rsidRPr="00E809C1" w:rsidTr="00267149">
        <w:trPr>
          <w:trHeight w:val="1117"/>
        </w:trPr>
        <w:tc>
          <w:tcPr>
            <w:tcW w:w="1242" w:type="dxa"/>
          </w:tcPr>
          <w:p w:rsidR="00E679E6" w:rsidRPr="00340BD9" w:rsidRDefault="000C283F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n-GB" w:eastAsia="en-GB"/>
              </w:rPr>
              <w:drawing>
                <wp:inline distT="0" distB="0" distL="0" distR="0">
                  <wp:extent cx="652145" cy="85852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B41F5D" w:rsidRPr="00B41F5D" w:rsidRDefault="000C283F" w:rsidP="00B41F5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41F5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Lakhdar </w:t>
            </w:r>
            <w:proofErr w:type="spellStart"/>
            <w:r w:rsidRPr="00B41F5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Benmazouz</w:t>
            </w:r>
            <w:proofErr w:type="spellEnd"/>
            <w:r w:rsidRPr="00B41F5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, </w:t>
            </w:r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Directeur des énergies renouvelables et de la maîtrise</w:t>
            </w:r>
          </w:p>
          <w:p w:rsidR="00E679E6" w:rsidRPr="00B41F5D" w:rsidRDefault="00B41F5D" w:rsidP="00B41F5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 l’énergie au ministère de l’Energie et des Mines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E679E6"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</w:p>
          <w:p w:rsidR="00B41F5D" w:rsidRPr="00B41F5D" w:rsidRDefault="00B41F5D" w:rsidP="00B41F5D">
            <w:pPr>
              <w:tabs>
                <w:tab w:val="left" w:pos="1335"/>
                <w:tab w:val="left" w:pos="5940"/>
              </w:tabs>
              <w:spacing w:line="276" w:lineRule="auto"/>
              <w:ind w:left="-3188" w:firstLine="3188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« 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Il s’agit d’un évènement qui s’inscrit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pleinement dans l’actualité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algérienne en ce qui </w:t>
            </w:r>
          </w:p>
          <w:p w:rsidR="00E679E6" w:rsidRPr="00B41F5D" w:rsidRDefault="00B41F5D" w:rsidP="00B41F5D">
            <w:pPr>
              <w:tabs>
                <w:tab w:val="left" w:pos="1335"/>
                <w:tab w:val="left" w:pos="5940"/>
              </w:tabs>
              <w:spacing w:line="276" w:lineRule="auto"/>
              <w:ind w:left="-3188" w:firstLine="3188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question énergétique et l’encouragement de la ress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ource renouvelable. »</w:t>
            </w:r>
          </w:p>
        </w:tc>
      </w:tr>
      <w:tr w:rsidR="00E679E6" w:rsidRPr="00E809C1" w:rsidTr="00267149">
        <w:tc>
          <w:tcPr>
            <w:tcW w:w="1242" w:type="dxa"/>
          </w:tcPr>
          <w:p w:rsidR="00E679E6" w:rsidRPr="00B41F5D" w:rsidRDefault="00E679E6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fr-FR"/>
              </w:rPr>
            </w:pPr>
          </w:p>
        </w:tc>
        <w:tc>
          <w:tcPr>
            <w:tcW w:w="7938" w:type="dxa"/>
          </w:tcPr>
          <w:p w:rsidR="00E679E6" w:rsidRPr="00B41F5D" w:rsidRDefault="00E679E6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E679E6" w:rsidRPr="00B41F5D" w:rsidTr="00267149">
        <w:trPr>
          <w:trHeight w:val="1117"/>
        </w:trPr>
        <w:tc>
          <w:tcPr>
            <w:tcW w:w="1242" w:type="dxa"/>
          </w:tcPr>
          <w:p w:rsidR="00E679E6" w:rsidRPr="00B41F5D" w:rsidRDefault="000C283F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52145" cy="795020"/>
                  <wp:effectExtent l="0" t="0" r="0" b="508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E679E6" w:rsidRPr="00B41F5D" w:rsidRDefault="000C283F" w:rsidP="000C283F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41F5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M. Farouk Ben </w:t>
            </w:r>
            <w:proofErr w:type="spellStart"/>
            <w:r w:rsidRPr="00B41F5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Abdoun</w:t>
            </w:r>
            <w:proofErr w:type="spellEnd"/>
            <w:r w:rsidRPr="00B41F5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, </w:t>
            </w:r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Directeur général Siemens Algérie</w:t>
            </w:r>
            <w:r w:rsid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E679E6"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: </w:t>
            </w:r>
          </w:p>
          <w:p w:rsidR="00B41F5D" w:rsidRDefault="00B41F5D" w:rsidP="00B41F5D">
            <w:pPr>
              <w:tabs>
                <w:tab w:val="left" w:pos="1335"/>
                <w:tab w:val="left" w:pos="5940"/>
              </w:tabs>
              <w:spacing w:line="276" w:lineRule="auto"/>
              <w:ind w:left="-3188" w:firstLine="3188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« 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Siemens pense aussi à l’avenir et notamment à la transition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énergétique </w:t>
            </w:r>
            <w:proofErr w:type="spellStart"/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auquelle</w:t>
            </w:r>
            <w:proofErr w:type="spellEnd"/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E679E6" w:rsidRPr="00B41F5D" w:rsidRDefault="00B41F5D" w:rsidP="00B41F5D">
            <w:pPr>
              <w:tabs>
                <w:tab w:val="left" w:pos="1335"/>
                <w:tab w:val="left" w:pos="5940"/>
              </w:tabs>
              <w:spacing w:line="276" w:lineRule="auto"/>
              <w:ind w:left="-3188" w:firstLine="3188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l’Algérie se prépare. »</w:t>
            </w:r>
          </w:p>
        </w:tc>
      </w:tr>
      <w:tr w:rsidR="00E679E6" w:rsidRPr="00B41F5D" w:rsidTr="00267149">
        <w:tc>
          <w:tcPr>
            <w:tcW w:w="1242" w:type="dxa"/>
          </w:tcPr>
          <w:p w:rsidR="00E679E6" w:rsidRPr="00B41F5D" w:rsidRDefault="00E679E6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fr-FR"/>
              </w:rPr>
            </w:pPr>
          </w:p>
        </w:tc>
        <w:tc>
          <w:tcPr>
            <w:tcW w:w="7938" w:type="dxa"/>
          </w:tcPr>
          <w:p w:rsidR="00E679E6" w:rsidRPr="00B41F5D" w:rsidRDefault="00E679E6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E679E6" w:rsidRPr="00E809C1" w:rsidTr="00267149">
        <w:trPr>
          <w:trHeight w:val="1117"/>
        </w:trPr>
        <w:tc>
          <w:tcPr>
            <w:tcW w:w="1242" w:type="dxa"/>
          </w:tcPr>
          <w:p w:rsidR="00E679E6" w:rsidRPr="00340BD9" w:rsidRDefault="00F071FD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en-US"/>
              </w:rPr>
            </w:pPr>
            <w:r>
              <w:object w:dxaOrig="5339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22.4pt" o:ole="">
                  <v:imagedata r:id="rId14" o:title=""/>
                </v:shape>
                <o:OLEObject Type="Embed" ProgID="PBrush" ShapeID="_x0000_i1025" DrawAspect="Content" ObjectID="_1402213764" r:id="rId15"/>
              </w:object>
            </w:r>
          </w:p>
        </w:tc>
        <w:tc>
          <w:tcPr>
            <w:tcW w:w="7938" w:type="dxa"/>
          </w:tcPr>
          <w:p w:rsidR="00E679E6" w:rsidRPr="00D07E0D" w:rsidRDefault="00F071FD" w:rsidP="00B41F5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Luclo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Torrisi</w:t>
            </w:r>
            <w:proofErr w:type="spellEnd"/>
            <w:r w:rsidR="000C283F" w:rsidRPr="00D07E0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, </w:t>
            </w:r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Business Development &amp; Sales Manager</w:t>
            </w:r>
            <w:r w:rsidR="00B41F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du </w:t>
            </w:r>
            <w:proofErr w:type="spellStart"/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Groupe</w:t>
            </w:r>
            <w:proofErr w:type="spellEnd"/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Asea</w:t>
            </w:r>
            <w:proofErr w:type="spellEnd"/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Brown </w:t>
            </w:r>
            <w:proofErr w:type="spellStart"/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Boveri</w:t>
            </w:r>
            <w:proofErr w:type="spellEnd"/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ABB</w:t>
            </w:r>
            <w:r w:rsidR="00B41F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E679E6" w:rsidRPr="00F071F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E679E6" w:rsidRPr="00B41F5D" w:rsidRDefault="00B41F5D" w:rsidP="00B41F5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« 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Avec une évolution très positive, le marché algérien passe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pour l’un des plus prometteurs dans la région.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»</w:t>
            </w:r>
          </w:p>
        </w:tc>
      </w:tr>
      <w:tr w:rsidR="00326CC6" w:rsidRPr="00E809C1" w:rsidTr="00267149">
        <w:tc>
          <w:tcPr>
            <w:tcW w:w="1242" w:type="dxa"/>
          </w:tcPr>
          <w:p w:rsidR="00326CC6" w:rsidRPr="00B41F5D" w:rsidRDefault="00326CC6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fr-FR"/>
              </w:rPr>
            </w:pPr>
          </w:p>
        </w:tc>
        <w:tc>
          <w:tcPr>
            <w:tcW w:w="7938" w:type="dxa"/>
          </w:tcPr>
          <w:p w:rsidR="00326CC6" w:rsidRPr="00B41F5D" w:rsidRDefault="00326CC6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326CC6" w:rsidRPr="00B6251E" w:rsidTr="00267149">
        <w:trPr>
          <w:trHeight w:val="1504"/>
        </w:trPr>
        <w:tc>
          <w:tcPr>
            <w:tcW w:w="1242" w:type="dxa"/>
          </w:tcPr>
          <w:p w:rsidR="00326CC6" w:rsidRPr="00340BD9" w:rsidRDefault="00B6251E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en-US"/>
              </w:rPr>
            </w:pPr>
            <w:r>
              <w:object w:dxaOrig="1380" w:dyaOrig="1725">
                <v:shape id="_x0000_i1026" type="#_x0000_t75" style="width:50.95pt;height:63.85pt" o:ole="">
                  <v:imagedata r:id="rId16" o:title=""/>
                </v:shape>
                <o:OLEObject Type="Embed" ProgID="PBrush" ShapeID="_x0000_i1026" DrawAspect="Content" ObjectID="_1402213765" r:id="rId17"/>
              </w:object>
            </w:r>
          </w:p>
        </w:tc>
        <w:tc>
          <w:tcPr>
            <w:tcW w:w="7938" w:type="dxa"/>
          </w:tcPr>
          <w:p w:rsidR="00B6251E" w:rsidRDefault="00B6251E" w:rsidP="00B6251E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proofErr w:type="spellStart"/>
            <w:r w:rsidRPr="00B6251E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Nilesh</w:t>
            </w:r>
            <w:proofErr w:type="spellEnd"/>
            <w:r w:rsidRPr="00B6251E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251E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Patil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, </w:t>
            </w:r>
            <w:r w:rsidRPr="00B6251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Manager de l’organisme </w:t>
            </w:r>
            <w:proofErr w:type="spellStart"/>
            <w:r w:rsidRPr="00B6251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Rishabh</w:t>
            </w:r>
            <w:proofErr w:type="spellEnd"/>
            <w:r w:rsidRPr="00B6251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Instruments PVT.LTD.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:</w:t>
            </w:r>
          </w:p>
          <w:p w:rsidR="00326CC6" w:rsidRPr="00B41F5D" w:rsidRDefault="00B41F5D" w:rsidP="00B6251E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« </w:t>
            </w:r>
            <w:r w:rsid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N</w:t>
            </w:r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ous partic</w:t>
            </w:r>
            <w:r w:rsidR="00522FF4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ipons pour la deuxième fois au salon i</w:t>
            </w:r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nternational</w:t>
            </w:r>
            <w:r w:rsid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sur les énergies renouvelables. Et nous sommes</w:t>
            </w:r>
            <w:r w:rsid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très contents d’être là.</w:t>
            </w:r>
            <w:r w:rsid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»</w:t>
            </w:r>
          </w:p>
        </w:tc>
      </w:tr>
      <w:tr w:rsidR="000826A5" w:rsidRPr="00B6251E" w:rsidTr="00267149">
        <w:tc>
          <w:tcPr>
            <w:tcW w:w="1242" w:type="dxa"/>
          </w:tcPr>
          <w:p w:rsidR="000826A5" w:rsidRPr="00B41F5D" w:rsidRDefault="000826A5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fr-FR"/>
              </w:rPr>
            </w:pPr>
          </w:p>
        </w:tc>
        <w:tc>
          <w:tcPr>
            <w:tcW w:w="7938" w:type="dxa"/>
          </w:tcPr>
          <w:p w:rsidR="000826A5" w:rsidRPr="00B41F5D" w:rsidRDefault="000826A5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0826A5" w:rsidRPr="00E809C1" w:rsidTr="00267149">
        <w:tc>
          <w:tcPr>
            <w:tcW w:w="1242" w:type="dxa"/>
          </w:tcPr>
          <w:p w:rsidR="000826A5" w:rsidRPr="00B6251E" w:rsidRDefault="00B253B1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48335" cy="95694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826A5" w:rsidRPr="00B41F5D" w:rsidRDefault="00B253B1" w:rsidP="00482251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41F5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Guillaume </w:t>
            </w:r>
            <w:proofErr w:type="spellStart"/>
            <w:r w:rsidRPr="00B41F5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Lafont</w:t>
            </w:r>
            <w:proofErr w:type="spellEnd"/>
            <w:r w:rsidR="007605BD" w:rsidRPr="00B41F5D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, </w:t>
            </w:r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Directeur Général de Piller Power </w:t>
            </w:r>
            <w:proofErr w:type="spellStart"/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Systems</w:t>
            </w:r>
            <w:proofErr w:type="spellEnd"/>
            <w:r w:rsidR="00B41F5D"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0826A5" w:rsidRPr="00B41F5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</w:p>
          <w:p w:rsidR="00482251" w:rsidRPr="00B41F5D" w:rsidRDefault="00B41F5D" w:rsidP="00B41F5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« 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Nous sommes très heureux d’être présents à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ce </w:t>
            </w:r>
            <w:r w:rsidR="000654B9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s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alon. Nous sommes bien accueillis </w:t>
            </w:r>
            <w:r w:rsidR="004C4295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e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t nous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avons beaucoup d’espoir d’avoir des marchés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B41F5D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en Algérie.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»</w:t>
            </w:r>
          </w:p>
          <w:p w:rsidR="000826A5" w:rsidRPr="00B41F5D" w:rsidRDefault="000826A5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</w:tr>
      <w:tr w:rsidR="000826A5" w:rsidRPr="00E809C1" w:rsidTr="00267149">
        <w:tc>
          <w:tcPr>
            <w:tcW w:w="1242" w:type="dxa"/>
          </w:tcPr>
          <w:p w:rsidR="000826A5" w:rsidRPr="00B41F5D" w:rsidRDefault="000826A5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fr-FR"/>
              </w:rPr>
            </w:pPr>
          </w:p>
        </w:tc>
        <w:tc>
          <w:tcPr>
            <w:tcW w:w="7938" w:type="dxa"/>
          </w:tcPr>
          <w:p w:rsidR="000826A5" w:rsidRPr="00B41F5D" w:rsidRDefault="000826A5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0826A5" w:rsidRPr="00E809C1" w:rsidTr="00267149">
        <w:tc>
          <w:tcPr>
            <w:tcW w:w="1242" w:type="dxa"/>
          </w:tcPr>
          <w:p w:rsidR="000826A5" w:rsidRPr="00340BD9" w:rsidRDefault="00B6251E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en-US"/>
              </w:rPr>
            </w:pPr>
            <w:r>
              <w:object w:dxaOrig="1665" w:dyaOrig="2055">
                <v:shape id="_x0000_i1027" type="#_x0000_t75" style="width:50.95pt;height:63.15pt" o:ole="">
                  <v:imagedata r:id="rId19" o:title=""/>
                </v:shape>
                <o:OLEObject Type="Embed" ProgID="PBrush" ShapeID="_x0000_i1027" DrawAspect="Content" ObjectID="_1402213766" r:id="rId20"/>
              </w:object>
            </w:r>
          </w:p>
        </w:tc>
        <w:tc>
          <w:tcPr>
            <w:tcW w:w="7938" w:type="dxa"/>
          </w:tcPr>
          <w:p w:rsidR="00B6251E" w:rsidRDefault="00B6251E" w:rsidP="00B6251E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fr-FR"/>
              </w:rPr>
            </w:pPr>
            <w:r w:rsidRPr="00B6251E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Nicolas Perl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, </w:t>
            </w:r>
            <w:r w:rsidRPr="00B6251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Directeur Général de Centrotherm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  <w:r w:rsidRPr="00B6251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:</w:t>
            </w:r>
          </w:p>
          <w:p w:rsidR="00B6251E" w:rsidRPr="00B6251E" w:rsidRDefault="004C4295" w:rsidP="00B6251E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« </w:t>
            </w:r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Actuellement, nous sommes engagés avec </w:t>
            </w:r>
            <w:proofErr w:type="spellStart"/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Rouiba</w:t>
            </w:r>
            <w:proofErr w:type="spellEnd"/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éclairage</w:t>
            </w:r>
            <w:r w:rsid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dans le projet d’une </w:t>
            </w:r>
            <w:r w:rsidR="00233310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u</w:t>
            </w:r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sine </w:t>
            </w:r>
            <w:proofErr w:type="spellStart"/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fully-integrated</w:t>
            </w:r>
            <w:proofErr w:type="spellEnd"/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qui produira,</w:t>
            </w:r>
            <w:r w:rsidR="00233310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B6251E"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dans un premier temps, des lingots avec silicium,</w:t>
            </w:r>
          </w:p>
          <w:p w:rsidR="00263950" w:rsidRPr="004C4295" w:rsidRDefault="00B6251E" w:rsidP="00233310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ensuite des cellules solaires et, enfin, des modules photovoltaïques.</w:t>
            </w:r>
            <w:r w:rsidR="00233310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La capacité de production de cette usine sera</w:t>
            </w:r>
            <w:r w:rsidR="00233310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de 116 méga watts. C’est dire l’importance du projet. Nous</w:t>
            </w:r>
            <w:r w:rsidR="00233310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avons signé ce contrat l’année dernière pour un coût de</w:t>
            </w:r>
            <w:r w:rsidR="00233310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B6251E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260 millions d’euros.</w:t>
            </w:r>
            <w:r w:rsidR="00233310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4C4295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»</w:t>
            </w:r>
          </w:p>
        </w:tc>
      </w:tr>
      <w:tr w:rsidR="00263950" w:rsidRPr="00E809C1" w:rsidTr="00267149">
        <w:tc>
          <w:tcPr>
            <w:tcW w:w="1242" w:type="dxa"/>
          </w:tcPr>
          <w:p w:rsidR="00263950" w:rsidRPr="004C4295" w:rsidRDefault="00263950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fr-FR"/>
              </w:rPr>
            </w:pPr>
          </w:p>
        </w:tc>
        <w:tc>
          <w:tcPr>
            <w:tcW w:w="7938" w:type="dxa"/>
          </w:tcPr>
          <w:p w:rsidR="00263950" w:rsidRPr="004C4295" w:rsidRDefault="00263950" w:rsidP="00BC1C2D">
            <w:pPr>
              <w:tabs>
                <w:tab w:val="left" w:pos="1335"/>
                <w:tab w:val="left" w:pos="594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263950" w:rsidRPr="00E809C1" w:rsidTr="00267149">
        <w:tc>
          <w:tcPr>
            <w:tcW w:w="1242" w:type="dxa"/>
          </w:tcPr>
          <w:p w:rsidR="00263950" w:rsidRPr="004C4295" w:rsidRDefault="00263950" w:rsidP="00BC1C2D">
            <w:pPr>
              <w:tabs>
                <w:tab w:val="left" w:pos="1335"/>
                <w:tab w:val="left" w:pos="5940"/>
              </w:tabs>
              <w:spacing w:line="276" w:lineRule="auto"/>
              <w:ind w:right="2689"/>
              <w:jc w:val="both"/>
              <w:rPr>
                <w:noProof/>
                <w:lang w:val="fr-FR"/>
              </w:rPr>
            </w:pPr>
          </w:p>
        </w:tc>
        <w:tc>
          <w:tcPr>
            <w:tcW w:w="7938" w:type="dxa"/>
          </w:tcPr>
          <w:p w:rsidR="00263950" w:rsidRPr="004C4295" w:rsidRDefault="004C4295" w:rsidP="007605BD">
            <w:pPr>
              <w:tabs>
                <w:tab w:val="left" w:pos="1335"/>
                <w:tab w:val="left" w:pos="59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4C4295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Voir les témoignages</w:t>
            </w:r>
            <w:r w:rsidR="00BC1C2D" w:rsidRPr="004C4295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:</w:t>
            </w:r>
            <w:r w:rsidR="00263950" w:rsidRPr="004C4295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E809C1">
              <w:fldChar w:fldCharType="begin"/>
            </w:r>
            <w:r w:rsidR="00E809C1" w:rsidRPr="00E809C1">
              <w:rPr>
                <w:lang w:val="fr-FR"/>
              </w:rPr>
              <w:instrText xml:space="preserve"> HYPERLINK "http://www.electro-automation.info/uploads/media/electro2012_daily.pdf" </w:instrText>
            </w:r>
            <w:r w:rsidR="00E809C1">
              <w:fldChar w:fldCharType="separate"/>
            </w:r>
            <w:r w:rsidR="007605BD" w:rsidRPr="004C4295">
              <w:rPr>
                <w:rStyle w:val="Hyperlink"/>
                <w:rFonts w:ascii="Arial" w:hAnsi="Arial" w:cs="Arial"/>
                <w:b/>
                <w:sz w:val="20"/>
                <w:szCs w:val="20"/>
                <w:lang w:val="fr-FR"/>
              </w:rPr>
              <w:t>www.electro-automation.info</w:t>
            </w:r>
            <w:r w:rsidR="00E809C1">
              <w:rPr>
                <w:rStyle w:val="Hyperlink"/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1E58C7" w:rsidRPr="004C4295" w:rsidRDefault="001E58C7" w:rsidP="00BC1C2D">
      <w:pPr>
        <w:spacing w:line="276" w:lineRule="auto"/>
        <w:ind w:right="-90"/>
        <w:rPr>
          <w:rFonts w:ascii="Arial" w:hAnsi="Arial" w:cs="Arial"/>
          <w:b/>
          <w:lang w:val="fr-FR"/>
        </w:rPr>
      </w:pPr>
    </w:p>
    <w:p w:rsidR="00D8324A" w:rsidRPr="004C4295" w:rsidRDefault="00D8324A" w:rsidP="00D8324A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:rsidR="00D8324A" w:rsidRPr="004C4295" w:rsidRDefault="00D8324A" w:rsidP="00D8324A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:rsidR="004C4295" w:rsidRPr="00F461CF" w:rsidRDefault="004C4295" w:rsidP="004C4295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lang w:val="fr-FR"/>
        </w:rPr>
      </w:pPr>
      <w:r w:rsidRPr="00F461CF">
        <w:rPr>
          <w:rFonts w:ascii="Arial" w:hAnsi="Arial" w:cs="Arial"/>
          <w:b/>
          <w:color w:val="000000"/>
          <w:lang w:val="fr-FR"/>
        </w:rPr>
        <w:lastRenderedPageBreak/>
        <w:t xml:space="preserve">Portail interactif </w:t>
      </w:r>
      <w:proofErr w:type="spellStart"/>
      <w:r w:rsidRPr="00F461CF">
        <w:rPr>
          <w:rFonts w:ascii="Arial" w:hAnsi="Arial" w:cs="Arial"/>
          <w:b/>
          <w:color w:val="000000"/>
          <w:lang w:val="fr-FR"/>
        </w:rPr>
        <w:t>electro</w:t>
      </w:r>
      <w:proofErr w:type="spellEnd"/>
      <w:r w:rsidRPr="00F461CF">
        <w:rPr>
          <w:rFonts w:ascii="Arial" w:hAnsi="Arial" w:cs="Arial"/>
          <w:b/>
          <w:color w:val="000000"/>
          <w:lang w:val="fr-FR"/>
        </w:rPr>
        <w:t>, automation &amp; energy </w:t>
      </w:r>
    </w:p>
    <w:p w:rsidR="004C4295" w:rsidRPr="00F461CF" w:rsidRDefault="004C4295" w:rsidP="004C4295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lang w:val="fr-FR"/>
        </w:rPr>
      </w:pPr>
    </w:p>
    <w:p w:rsidR="004C4295" w:rsidRPr="004C4295" w:rsidRDefault="004C4295" w:rsidP="004C4295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4C4295">
        <w:rPr>
          <w:rFonts w:ascii="Arial" w:hAnsi="Arial" w:cs="Arial"/>
          <w:color w:val="000000"/>
          <w:sz w:val="20"/>
          <w:szCs w:val="20"/>
          <w:lang w:val="fr-FR"/>
        </w:rPr>
        <w:t xml:space="preserve">Pour la première fois en Algérie : le </w:t>
      </w:r>
      <w:r w:rsidR="00E809C1">
        <w:fldChar w:fldCharType="begin"/>
      </w:r>
      <w:r w:rsidR="00E809C1" w:rsidRPr="00E809C1">
        <w:rPr>
          <w:lang w:val="fr-FR"/>
        </w:rPr>
        <w:instrText xml:space="preserve"> HYPERLINK "http://www.electro-automation.info/electro_exposantsproduits.html?&amp;L=1" \t "_blank" \o "Opens internal link in current window" </w:instrText>
      </w:r>
      <w:r w:rsidR="00E809C1">
        <w:fldChar w:fldCharType="separate"/>
      </w:r>
      <w:r w:rsidRPr="004C4295">
        <w:rPr>
          <w:rFonts w:ascii="Arial" w:hAnsi="Arial" w:cs="Arial"/>
          <w:color w:val="000000"/>
          <w:sz w:val="20"/>
          <w:szCs w:val="20"/>
          <w:lang w:val="fr-FR"/>
        </w:rPr>
        <w:t>portail interactif electro, automation &amp; energy 2012</w:t>
      </w:r>
      <w:r w:rsidR="00E809C1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4C4295">
        <w:rPr>
          <w:rFonts w:ascii="Arial" w:hAnsi="Arial" w:cs="Arial"/>
          <w:color w:val="000000"/>
          <w:sz w:val="20"/>
          <w:szCs w:val="20"/>
          <w:lang w:val="fr-FR"/>
        </w:rPr>
        <w:t>, une communauté en ligne interactive permettant aux exposants et visiteurs de communiquer avant, pendant et après le salon</w:t>
      </w:r>
      <w:r>
        <w:rPr>
          <w:rFonts w:ascii="Arial" w:hAnsi="Arial" w:cs="Arial"/>
          <w:color w:val="000000"/>
          <w:sz w:val="20"/>
          <w:szCs w:val="20"/>
          <w:lang w:val="fr-FR"/>
        </w:rPr>
        <w:t> :</w:t>
      </w:r>
      <w:r w:rsidRPr="004C429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E809C1">
        <w:fldChar w:fldCharType="begin"/>
      </w:r>
      <w:r w:rsidR="00E809C1" w:rsidRPr="00E809C1">
        <w:rPr>
          <w:lang w:val="fr-FR"/>
        </w:rPr>
        <w:instrText xml:space="preserve"> HYPERLINK "http://www.visit.electro-automation.info" </w:instrText>
      </w:r>
      <w:r w:rsidR="00E809C1">
        <w:fldChar w:fldCharType="separate"/>
      </w:r>
      <w:r w:rsidRPr="00267A66">
        <w:rPr>
          <w:rStyle w:val="Hyperlink"/>
          <w:rFonts w:ascii="Arial" w:hAnsi="Arial" w:cs="Arial"/>
          <w:sz w:val="20"/>
          <w:szCs w:val="20"/>
          <w:lang w:val="fr-FR"/>
        </w:rPr>
        <w:t>www.visit.electro-automation.info</w:t>
      </w:r>
      <w:r w:rsidR="00E809C1">
        <w:rPr>
          <w:rStyle w:val="Hyperlink"/>
          <w:rFonts w:ascii="Arial" w:hAnsi="Arial" w:cs="Arial"/>
          <w:sz w:val="20"/>
          <w:szCs w:val="20"/>
          <w:lang w:val="fr-FR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D8324A" w:rsidRPr="004C4295" w:rsidRDefault="00D8324A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8324A" w:rsidRPr="004C4295" w:rsidRDefault="00D8324A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8324A" w:rsidRPr="004C4295" w:rsidRDefault="004C4295" w:rsidP="00D8324A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lang w:val="fr-FR"/>
        </w:rPr>
      </w:pPr>
      <w:r w:rsidRPr="004C4295">
        <w:rPr>
          <w:rFonts w:ascii="Arial" w:hAnsi="Arial" w:cs="Arial"/>
          <w:b/>
          <w:color w:val="000000"/>
          <w:lang w:val="fr-FR"/>
        </w:rPr>
        <w:t>Évaluatio</w:t>
      </w:r>
      <w:r w:rsidR="00434866">
        <w:rPr>
          <w:rFonts w:ascii="Arial" w:hAnsi="Arial" w:cs="Arial"/>
          <w:b/>
          <w:color w:val="000000"/>
          <w:lang w:val="fr-FR"/>
        </w:rPr>
        <w:t>n des statistiques-visiteurs d’</w:t>
      </w:r>
      <w:proofErr w:type="spellStart"/>
      <w:r w:rsidR="00D8324A" w:rsidRPr="004C4295">
        <w:rPr>
          <w:rFonts w:ascii="Arial" w:hAnsi="Arial" w:cs="Arial"/>
          <w:b/>
          <w:color w:val="000000"/>
          <w:lang w:val="fr-FR"/>
        </w:rPr>
        <w:t>electro</w:t>
      </w:r>
      <w:proofErr w:type="spellEnd"/>
      <w:r w:rsidR="00D8324A" w:rsidRPr="004C4295">
        <w:rPr>
          <w:rFonts w:ascii="Arial" w:hAnsi="Arial" w:cs="Arial"/>
          <w:b/>
          <w:color w:val="000000"/>
          <w:lang w:val="fr-FR"/>
        </w:rPr>
        <w:t>, automation &amp; energy 2012</w:t>
      </w:r>
    </w:p>
    <w:p w:rsidR="00D8324A" w:rsidRPr="004C4295" w:rsidRDefault="00D8324A" w:rsidP="00D8324A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lang w:val="fr-FR"/>
        </w:rPr>
      </w:pPr>
    </w:p>
    <w:p w:rsidR="004C4295" w:rsidRPr="004C4295" w:rsidRDefault="004C4295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4C4295">
        <w:rPr>
          <w:rFonts w:ascii="Arial" w:hAnsi="Arial" w:cs="Arial"/>
          <w:color w:val="000000"/>
          <w:sz w:val="20"/>
          <w:szCs w:val="20"/>
          <w:lang w:val="fr-FR"/>
        </w:rPr>
        <w:t>Tous les 1 948 visiteurs ont été priés de bien vouloir s’inscrire et de remplir un questionnaire. Les données suivantes se basent sur cette enquête réalisée par fairtrade.</w:t>
      </w:r>
    </w:p>
    <w:p w:rsidR="00BA629B" w:rsidRPr="004C4295" w:rsidRDefault="00BA629B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BA472E" w:rsidRPr="004C4295" w:rsidRDefault="00BA472E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:rsidR="004C4295" w:rsidRPr="00D9354D" w:rsidRDefault="004C4295" w:rsidP="004C4295">
      <w:pPr>
        <w:tabs>
          <w:tab w:val="left" w:pos="1335"/>
          <w:tab w:val="left" w:pos="5940"/>
        </w:tabs>
        <w:spacing w:line="276" w:lineRule="auto"/>
        <w:rPr>
          <w:rFonts w:ascii="Arial" w:hAnsi="Arial" w:cs="Arial"/>
          <w:b/>
          <w:color w:val="000000"/>
          <w:sz w:val="20"/>
          <w:lang w:val="fr-FR"/>
        </w:rPr>
      </w:pPr>
      <w:r w:rsidRPr="00D9354D">
        <w:rPr>
          <w:rFonts w:ascii="Arial" w:hAnsi="Arial" w:cs="Arial"/>
          <w:b/>
          <w:color w:val="000000"/>
          <w:sz w:val="20"/>
          <w:lang w:val="fr-FR"/>
        </w:rPr>
        <w:t>Visiteurs par jour :</w:t>
      </w:r>
    </w:p>
    <w:p w:rsidR="00BA472E" w:rsidRDefault="00BA472E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BA472E" w:rsidRDefault="004C4295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45EF5EF" wp14:editId="59A7A89E">
            <wp:extent cx="5564038" cy="3821502"/>
            <wp:effectExtent l="0" t="0" r="0" b="7620"/>
            <wp:docPr id="11" name="Diagram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A472E" w:rsidRDefault="00BA472E" w:rsidP="00BC1C2D">
      <w:pPr>
        <w:tabs>
          <w:tab w:val="left" w:pos="1335"/>
          <w:tab w:val="left" w:pos="5940"/>
        </w:tabs>
        <w:spacing w:line="276" w:lineRule="auto"/>
        <w:jc w:val="right"/>
        <w:rPr>
          <w:rFonts w:ascii="Arial" w:hAnsi="Arial" w:cs="Arial"/>
          <w:color w:val="000000"/>
          <w:sz w:val="16"/>
          <w:szCs w:val="20"/>
          <w:lang w:val="en-US"/>
        </w:rPr>
      </w:pPr>
    </w:p>
    <w:p w:rsidR="00BC1C2D" w:rsidRDefault="00BC1C2D" w:rsidP="00BC1C2D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br w:type="page"/>
      </w:r>
    </w:p>
    <w:p w:rsidR="00BC1C2D" w:rsidRPr="004C4295" w:rsidRDefault="004C4295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szCs w:val="20"/>
          <w:lang w:val="fr-FR"/>
        </w:rPr>
      </w:pPr>
      <w:r w:rsidRPr="004C4295">
        <w:rPr>
          <w:rFonts w:ascii="Arial" w:hAnsi="Arial" w:cs="Arial"/>
          <w:b/>
          <w:color w:val="000000"/>
          <w:szCs w:val="20"/>
          <w:lang w:val="fr-FR"/>
        </w:rPr>
        <w:lastRenderedPageBreak/>
        <w:t xml:space="preserve">Les organisateurs ont réussi à attirer </w:t>
      </w:r>
      <w:r w:rsidR="002E2240" w:rsidRPr="004C4295">
        <w:rPr>
          <w:rFonts w:ascii="Arial" w:hAnsi="Arial" w:cs="Arial"/>
          <w:b/>
          <w:color w:val="000000"/>
          <w:szCs w:val="20"/>
          <w:lang w:val="fr-FR"/>
        </w:rPr>
        <w:t xml:space="preserve">1869 </w:t>
      </w:r>
      <w:r w:rsidRPr="004C4295">
        <w:rPr>
          <w:rFonts w:ascii="Arial" w:hAnsi="Arial" w:cs="Arial"/>
          <w:b/>
          <w:color w:val="000000"/>
          <w:szCs w:val="20"/>
          <w:lang w:val="fr-FR"/>
        </w:rPr>
        <w:t xml:space="preserve">visiteurs </w:t>
      </w:r>
      <w:r w:rsidR="00B6251E" w:rsidRPr="004C4295">
        <w:rPr>
          <w:rFonts w:ascii="Arial" w:hAnsi="Arial" w:cs="Arial"/>
          <w:b/>
          <w:color w:val="000000"/>
          <w:szCs w:val="20"/>
          <w:lang w:val="fr-FR"/>
        </w:rPr>
        <w:t>a</w:t>
      </w:r>
      <w:r w:rsidR="00B6251E">
        <w:rPr>
          <w:rFonts w:ascii="Arial" w:hAnsi="Arial" w:cs="Arial"/>
          <w:b/>
          <w:color w:val="000000"/>
          <w:szCs w:val="20"/>
          <w:lang w:val="fr-FR"/>
        </w:rPr>
        <w:t>lgé</w:t>
      </w:r>
      <w:r w:rsidR="00B6251E" w:rsidRPr="004C4295">
        <w:rPr>
          <w:rFonts w:ascii="Arial" w:hAnsi="Arial" w:cs="Arial"/>
          <w:b/>
          <w:color w:val="000000"/>
          <w:szCs w:val="20"/>
          <w:lang w:val="fr-FR"/>
        </w:rPr>
        <w:t>ri</w:t>
      </w:r>
      <w:r w:rsidR="00B6251E">
        <w:rPr>
          <w:rFonts w:ascii="Arial" w:hAnsi="Arial" w:cs="Arial"/>
          <w:b/>
          <w:color w:val="000000"/>
          <w:szCs w:val="20"/>
          <w:lang w:val="fr-FR"/>
        </w:rPr>
        <w:t>e</w:t>
      </w:r>
      <w:r w:rsidR="00B6251E" w:rsidRPr="004C4295">
        <w:rPr>
          <w:rFonts w:ascii="Arial" w:hAnsi="Arial" w:cs="Arial"/>
          <w:b/>
          <w:color w:val="000000"/>
          <w:szCs w:val="20"/>
          <w:lang w:val="fr-FR"/>
        </w:rPr>
        <w:t>n</w:t>
      </w:r>
      <w:r w:rsidR="00B6251E">
        <w:rPr>
          <w:rFonts w:ascii="Arial" w:hAnsi="Arial" w:cs="Arial"/>
          <w:b/>
          <w:color w:val="000000"/>
          <w:szCs w:val="20"/>
          <w:lang w:val="fr-FR"/>
        </w:rPr>
        <w:t>s</w:t>
      </w:r>
      <w:r w:rsidR="008F096D">
        <w:rPr>
          <w:rFonts w:ascii="Arial" w:hAnsi="Arial" w:cs="Arial"/>
          <w:b/>
          <w:color w:val="000000"/>
          <w:szCs w:val="20"/>
          <w:lang w:val="fr-FR"/>
        </w:rPr>
        <w:t xml:space="preserve"> </w:t>
      </w:r>
      <w:r w:rsidR="000654B9">
        <w:rPr>
          <w:rFonts w:ascii="Arial" w:hAnsi="Arial" w:cs="Arial"/>
          <w:b/>
          <w:color w:val="000000"/>
          <w:szCs w:val="20"/>
          <w:lang w:val="fr-FR"/>
        </w:rPr>
        <w:t>et</w:t>
      </w:r>
      <w:r w:rsidR="002E2240" w:rsidRPr="004C4295">
        <w:rPr>
          <w:rFonts w:ascii="Arial" w:hAnsi="Arial" w:cs="Arial"/>
          <w:b/>
          <w:color w:val="000000"/>
          <w:szCs w:val="20"/>
          <w:lang w:val="fr-FR"/>
        </w:rPr>
        <w:t xml:space="preserve"> 79 </w:t>
      </w:r>
      <w:r>
        <w:rPr>
          <w:rFonts w:ascii="Arial" w:hAnsi="Arial" w:cs="Arial"/>
          <w:b/>
          <w:color w:val="000000"/>
          <w:szCs w:val="20"/>
          <w:lang w:val="fr-FR"/>
        </w:rPr>
        <w:t xml:space="preserve">visiteurs </w:t>
      </w:r>
      <w:r w:rsidR="000654B9">
        <w:rPr>
          <w:rFonts w:ascii="Arial" w:hAnsi="Arial" w:cs="Arial"/>
          <w:b/>
          <w:color w:val="000000"/>
          <w:szCs w:val="20"/>
          <w:lang w:val="fr-FR"/>
        </w:rPr>
        <w:t>internationaux</w:t>
      </w:r>
      <w:r>
        <w:rPr>
          <w:rFonts w:ascii="Arial" w:hAnsi="Arial" w:cs="Arial"/>
          <w:b/>
          <w:color w:val="000000"/>
          <w:szCs w:val="20"/>
          <w:lang w:val="fr-FR"/>
        </w:rPr>
        <w:t xml:space="preserve"> </w:t>
      </w:r>
      <w:r w:rsidR="00737D15" w:rsidRPr="004C4295">
        <w:rPr>
          <w:rFonts w:ascii="Arial" w:hAnsi="Arial" w:cs="Arial"/>
          <w:b/>
          <w:color w:val="000000"/>
          <w:szCs w:val="20"/>
          <w:lang w:val="fr-FR"/>
        </w:rPr>
        <w:t>!</w:t>
      </w:r>
    </w:p>
    <w:p w:rsidR="00BC1C2D" w:rsidRPr="004C4295" w:rsidRDefault="00BC1C2D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3B2C50" w:rsidRPr="004C4295" w:rsidRDefault="003B2C50" w:rsidP="00BC1C2D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:rsidR="00BA629B" w:rsidRPr="004C4295" w:rsidRDefault="004C4295" w:rsidP="004C4295">
      <w:pPr>
        <w:tabs>
          <w:tab w:val="left" w:pos="1335"/>
          <w:tab w:val="left" w:pos="5940"/>
        </w:tabs>
        <w:spacing w:line="276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4295">
        <w:rPr>
          <w:rFonts w:ascii="Arial" w:hAnsi="Arial" w:cs="Arial"/>
          <w:b/>
          <w:color w:val="000000"/>
          <w:sz w:val="20"/>
          <w:szCs w:val="20"/>
          <w:lang w:val="fr-FR"/>
        </w:rPr>
        <w:t>Visiteurs par pays (sans l’Algérie) :</w:t>
      </w:r>
      <w:r w:rsidRPr="004C4295">
        <w:rPr>
          <w:noProof/>
          <w:lang w:val="fr-FR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0D5CDC9C" wp14:editId="3112B8B6">
            <wp:extent cx="6029864" cy="3640347"/>
            <wp:effectExtent l="0" t="0" r="0" b="0"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E4EA6" w:rsidRPr="004C4295" w:rsidRDefault="008E4EA6" w:rsidP="00BC1C2D">
      <w:pPr>
        <w:tabs>
          <w:tab w:val="left" w:pos="1335"/>
          <w:tab w:val="left" w:pos="5940"/>
        </w:tabs>
        <w:spacing w:line="276" w:lineRule="auto"/>
        <w:jc w:val="right"/>
        <w:rPr>
          <w:rFonts w:ascii="Arial" w:hAnsi="Arial" w:cs="Arial"/>
          <w:color w:val="000000"/>
          <w:sz w:val="16"/>
          <w:szCs w:val="20"/>
          <w:lang w:val="fr-FR"/>
        </w:rPr>
      </w:pPr>
    </w:p>
    <w:p w:rsidR="00BA472E" w:rsidRPr="004C4295" w:rsidRDefault="00BA472E" w:rsidP="00BC1C2D">
      <w:pPr>
        <w:tabs>
          <w:tab w:val="left" w:pos="1335"/>
          <w:tab w:val="left" w:pos="5940"/>
        </w:tabs>
        <w:spacing w:line="276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:rsidR="00737D15" w:rsidRPr="00A56168" w:rsidRDefault="00A56168" w:rsidP="00A56168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D22715">
        <w:rPr>
          <w:rFonts w:ascii="Arial" w:hAnsi="Arial" w:cs="Arial"/>
          <w:b/>
          <w:sz w:val="20"/>
          <w:lang w:val="fr-FR"/>
        </w:rPr>
        <w:t>Visiteurs par taille entreprise</w:t>
      </w:r>
      <w:r>
        <w:rPr>
          <w:rFonts w:ascii="Arial" w:hAnsi="Arial" w:cs="Arial"/>
          <w:b/>
          <w:sz w:val="20"/>
          <w:lang w:val="fr-FR"/>
        </w:rPr>
        <w:t xml:space="preserve"> (numéro des </w:t>
      </w:r>
      <w:r w:rsidRPr="00A3485E">
        <w:rPr>
          <w:rFonts w:ascii="Arial" w:hAnsi="Arial" w:cs="Arial"/>
          <w:b/>
          <w:sz w:val="20"/>
          <w:lang w:val="fr-FR"/>
        </w:rPr>
        <w:t>collaborateur</w:t>
      </w:r>
      <w:r>
        <w:rPr>
          <w:rFonts w:ascii="Arial" w:hAnsi="Arial" w:cs="Arial"/>
          <w:b/>
          <w:sz w:val="20"/>
          <w:lang w:val="fr-FR"/>
        </w:rPr>
        <w:t>s)</w:t>
      </w:r>
      <w:r w:rsidRPr="00D22715">
        <w:rPr>
          <w:rFonts w:ascii="Arial" w:hAnsi="Arial" w:cs="Arial"/>
          <w:b/>
          <w:sz w:val="20"/>
          <w:lang w:val="fr-FR"/>
        </w:rPr>
        <w:t> :</w:t>
      </w:r>
    </w:p>
    <w:p w:rsidR="00737D15" w:rsidRDefault="00737D15" w:rsidP="00BC1C2D">
      <w:pPr>
        <w:tabs>
          <w:tab w:val="left" w:pos="1335"/>
          <w:tab w:val="left" w:pos="5940"/>
        </w:tabs>
        <w:spacing w:line="276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1024A5CA" wp14:editId="32D3F034">
            <wp:extent cx="5943600" cy="1913861"/>
            <wp:effectExtent l="0" t="0" r="0" b="0"/>
            <wp:docPr id="27" name="Diagram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C1F2B" w:rsidRDefault="000C1F2B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br w:type="page"/>
      </w:r>
    </w:p>
    <w:p w:rsidR="00A56168" w:rsidRPr="00A56168" w:rsidRDefault="00A56168" w:rsidP="00A56168">
      <w:pPr>
        <w:tabs>
          <w:tab w:val="left" w:pos="1335"/>
          <w:tab w:val="left" w:pos="5940"/>
        </w:tabs>
        <w:spacing w:line="276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A56168">
        <w:rPr>
          <w:rFonts w:ascii="Arial" w:hAnsi="Arial" w:cs="Arial"/>
          <w:b/>
          <w:color w:val="000000"/>
          <w:sz w:val="20"/>
          <w:szCs w:val="20"/>
          <w:lang w:val="fr-FR"/>
        </w:rPr>
        <w:lastRenderedPageBreak/>
        <w:t xml:space="preserve">Visiteurs par  fonction : </w:t>
      </w:r>
    </w:p>
    <w:p w:rsidR="00A56168" w:rsidRPr="00A56168" w:rsidRDefault="00A56168" w:rsidP="00A56168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A56168" w:rsidRPr="00A56168" w:rsidRDefault="00A56168" w:rsidP="00A56168">
      <w:pPr>
        <w:tabs>
          <w:tab w:val="left" w:pos="1335"/>
          <w:tab w:val="left" w:pos="5940"/>
        </w:tabs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A56168">
        <w:rPr>
          <w:rFonts w:ascii="Arial" w:hAnsi="Arial" w:cs="Arial"/>
          <w:sz w:val="20"/>
          <w:szCs w:val="20"/>
          <w:lang w:val="fr-FR"/>
        </w:rPr>
        <w:t xml:space="preserve">56% des visiteurs à </w:t>
      </w:r>
      <w:proofErr w:type="spellStart"/>
      <w:r w:rsidRPr="00A56168">
        <w:rPr>
          <w:rFonts w:ascii="Arial" w:hAnsi="Arial" w:cs="Arial"/>
          <w:sz w:val="20"/>
          <w:szCs w:val="20"/>
          <w:lang w:val="fr-FR"/>
        </w:rPr>
        <w:t>electro</w:t>
      </w:r>
      <w:proofErr w:type="spellEnd"/>
      <w:r w:rsidRPr="00A56168">
        <w:rPr>
          <w:rFonts w:ascii="Arial" w:hAnsi="Arial" w:cs="Arial"/>
          <w:sz w:val="20"/>
          <w:szCs w:val="20"/>
          <w:lang w:val="fr-FR"/>
        </w:rPr>
        <w:t xml:space="preserve">, automation &amp; energy étaient </w:t>
      </w:r>
      <w:r w:rsidRPr="00A56168">
        <w:rPr>
          <w:rFonts w:ascii="Arial" w:hAnsi="Arial" w:cs="Arial"/>
          <w:b/>
          <w:sz w:val="20"/>
          <w:szCs w:val="20"/>
          <w:lang w:val="fr-FR"/>
        </w:rPr>
        <w:t>décideurs</w:t>
      </w:r>
      <w:r>
        <w:rPr>
          <w:rFonts w:ascii="Arial" w:hAnsi="Arial" w:cs="Arial"/>
          <w:sz w:val="20"/>
          <w:szCs w:val="20"/>
          <w:lang w:val="fr-FR"/>
        </w:rPr>
        <w:t>, avec eux PDG (23%), responsables technique (11%), chefs de projet (8%), directeurs commercial (7%), directeurs des achats (3</w:t>
      </w:r>
      <w:r w:rsidRPr="00A56168">
        <w:rPr>
          <w:rFonts w:ascii="Arial" w:hAnsi="Arial" w:cs="Arial"/>
          <w:sz w:val="20"/>
          <w:szCs w:val="20"/>
          <w:lang w:val="fr-FR"/>
        </w:rPr>
        <w:t>%), responsables financier (2%), responsables production informatiqu</w:t>
      </w:r>
      <w:r>
        <w:rPr>
          <w:rFonts w:ascii="Arial" w:hAnsi="Arial" w:cs="Arial"/>
          <w:sz w:val="20"/>
          <w:szCs w:val="20"/>
          <w:lang w:val="fr-FR"/>
        </w:rPr>
        <w:t>e (1</w:t>
      </w:r>
      <w:r w:rsidRPr="00A56168">
        <w:rPr>
          <w:rFonts w:ascii="Arial" w:hAnsi="Arial" w:cs="Arial"/>
          <w:sz w:val="20"/>
          <w:szCs w:val="20"/>
          <w:lang w:val="fr-FR"/>
        </w:rPr>
        <w:t>%) et di</w:t>
      </w:r>
      <w:r>
        <w:rPr>
          <w:rFonts w:ascii="Arial" w:hAnsi="Arial" w:cs="Arial"/>
          <w:sz w:val="20"/>
          <w:szCs w:val="20"/>
          <w:lang w:val="fr-FR"/>
        </w:rPr>
        <w:t>recteurs informatique (1%). Et 14</w:t>
      </w:r>
      <w:r w:rsidRPr="00A56168">
        <w:rPr>
          <w:rFonts w:ascii="Arial" w:hAnsi="Arial" w:cs="Arial"/>
          <w:sz w:val="20"/>
          <w:szCs w:val="20"/>
          <w:lang w:val="fr-FR"/>
        </w:rPr>
        <w:t>% autres étaient ingénieurs maintenance.</w:t>
      </w:r>
    </w:p>
    <w:p w:rsidR="003B2C50" w:rsidRPr="003B2C50" w:rsidRDefault="00A56168" w:rsidP="00BC1C2D">
      <w:pPr>
        <w:tabs>
          <w:tab w:val="left" w:pos="1335"/>
          <w:tab w:val="left" w:pos="5940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1E5A5BC" wp14:editId="0BA75AA3">
            <wp:extent cx="6159261" cy="4425351"/>
            <wp:effectExtent l="0" t="0" r="0" b="0"/>
            <wp:docPr id="14" name="Diagram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3462C" w:rsidRPr="00F22713" w:rsidRDefault="0063462C" w:rsidP="00BC1C2D">
      <w:pPr>
        <w:tabs>
          <w:tab w:val="left" w:pos="1335"/>
          <w:tab w:val="left" w:pos="594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1E58C7" w:rsidRDefault="001E58C7" w:rsidP="00BC1C2D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1E58C7" w:rsidRDefault="001E58C7" w:rsidP="00BC1C2D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C1F2B" w:rsidRDefault="000C1F2B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br w:type="page"/>
      </w:r>
    </w:p>
    <w:p w:rsidR="008C6E7A" w:rsidRPr="00A56168" w:rsidRDefault="00A56168" w:rsidP="00BC1C2D">
      <w:pPr>
        <w:tabs>
          <w:tab w:val="left" w:pos="1335"/>
          <w:tab w:val="left" w:pos="5940"/>
        </w:tabs>
        <w:spacing w:line="276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A56168">
        <w:rPr>
          <w:rFonts w:ascii="Arial" w:hAnsi="Arial" w:cs="Arial"/>
          <w:b/>
          <w:color w:val="000000"/>
          <w:sz w:val="20"/>
          <w:szCs w:val="20"/>
          <w:lang w:val="fr-FR"/>
        </w:rPr>
        <w:lastRenderedPageBreak/>
        <w:t>Visiteurs par secteur activité :</w:t>
      </w:r>
      <w:r w:rsidRPr="00A56168">
        <w:rPr>
          <w:noProof/>
          <w:lang w:val="fr-FR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107857EC" wp14:editId="51859A39">
            <wp:extent cx="6314536" cy="7142672"/>
            <wp:effectExtent l="0" t="0" r="0" b="1270"/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C1F2B" w:rsidRPr="00A56168" w:rsidRDefault="000C1F2B">
      <w:pPr>
        <w:spacing w:after="200" w:line="276" w:lineRule="auto"/>
        <w:rPr>
          <w:rFonts w:ascii="Arial" w:hAnsi="Arial" w:cs="Arial"/>
          <w:b/>
          <w:lang w:val="fr-FR"/>
        </w:rPr>
      </w:pPr>
      <w:r w:rsidRPr="00A56168">
        <w:rPr>
          <w:rFonts w:ascii="Arial" w:hAnsi="Arial" w:cs="Arial"/>
          <w:b/>
          <w:lang w:val="fr-FR"/>
        </w:rPr>
        <w:br w:type="page"/>
      </w:r>
    </w:p>
    <w:p w:rsidR="00A56168" w:rsidRPr="003D15F3" w:rsidRDefault="00A56168" w:rsidP="00A56168">
      <w:pPr>
        <w:spacing w:line="276" w:lineRule="auto"/>
        <w:rPr>
          <w:rFonts w:ascii="Arial" w:hAnsi="Arial" w:cs="Arial"/>
          <w:b/>
          <w:lang w:val="fr-FR"/>
        </w:rPr>
      </w:pPr>
      <w:r w:rsidRPr="003D15F3">
        <w:rPr>
          <w:rFonts w:ascii="Arial" w:hAnsi="Arial" w:cs="Arial"/>
          <w:b/>
          <w:lang w:val="fr-FR"/>
        </w:rPr>
        <w:lastRenderedPageBreak/>
        <w:t>Evaluation de l’enquête exposants</w:t>
      </w:r>
    </w:p>
    <w:p w:rsidR="00A56168" w:rsidRPr="003D15F3" w:rsidRDefault="00A56168" w:rsidP="00A56168">
      <w:pPr>
        <w:spacing w:line="276" w:lineRule="auto"/>
        <w:rPr>
          <w:rFonts w:ascii="Arial" w:hAnsi="Arial" w:cs="Arial"/>
          <w:b/>
          <w:lang w:val="fr-FR"/>
        </w:rPr>
      </w:pPr>
    </w:p>
    <w:p w:rsidR="00A56168" w:rsidRPr="003D15F3" w:rsidRDefault="00A56168" w:rsidP="00A56168">
      <w:pPr>
        <w:spacing w:line="276" w:lineRule="auto"/>
        <w:rPr>
          <w:rFonts w:ascii="Arial" w:hAnsi="Arial" w:cs="Arial"/>
          <w:sz w:val="20"/>
          <w:lang w:val="fr-FR"/>
        </w:rPr>
      </w:pPr>
      <w:r w:rsidRPr="003D15F3">
        <w:rPr>
          <w:rFonts w:ascii="Arial" w:hAnsi="Arial" w:cs="Arial"/>
          <w:sz w:val="20"/>
          <w:lang w:val="fr-FR"/>
        </w:rPr>
        <w:t>Tous les exposants ont été priés de bien vouloir remplir un questionnaire le jour de la clôture de l’événement. L’évaluation suivante est basée sur cette enquête.</w:t>
      </w:r>
    </w:p>
    <w:p w:rsidR="00FB4F50" w:rsidRPr="00A56168" w:rsidRDefault="00FB4F50" w:rsidP="00BC1C2D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:rsidR="00CD1504" w:rsidRDefault="00A56168" w:rsidP="00BC1C2D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Réalisation des objectifs </w:t>
      </w:r>
      <w:r w:rsidRPr="00E05556">
        <w:rPr>
          <w:rFonts w:ascii="Arial" w:hAnsi="Arial" w:cs="Arial"/>
          <w:b/>
          <w:sz w:val="20"/>
          <w:szCs w:val="20"/>
          <w:lang w:val="fr-FR"/>
        </w:rPr>
        <w:t>envisagés</w:t>
      </w:r>
    </w:p>
    <w:p w:rsidR="00A56168" w:rsidRPr="00340BD9" w:rsidRDefault="00A56168" w:rsidP="00BC1C2D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D1A994F" wp14:editId="725B21EE">
            <wp:extent cx="6193766" cy="3459192"/>
            <wp:effectExtent l="0" t="0" r="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80820" w:rsidRDefault="00280820" w:rsidP="00BC1C2D">
      <w:pPr>
        <w:spacing w:line="276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280820" w:rsidRDefault="00280820" w:rsidP="00BC1C2D">
      <w:pPr>
        <w:spacing w:line="276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A56168" w:rsidRPr="0046448B" w:rsidRDefault="00A56168" w:rsidP="00A56168">
      <w:pPr>
        <w:spacing w:line="276" w:lineRule="auto"/>
        <w:jc w:val="right"/>
        <w:rPr>
          <w:rFonts w:ascii="Arial" w:hAnsi="Arial" w:cs="Arial"/>
          <w:sz w:val="20"/>
          <w:szCs w:val="20"/>
          <w:lang w:val="fr-FR"/>
        </w:rPr>
      </w:pPr>
      <w:r w:rsidRPr="0046448B">
        <w:rPr>
          <w:rFonts w:ascii="Arial" w:hAnsi="Arial" w:cs="Arial"/>
          <w:sz w:val="16"/>
          <w:szCs w:val="16"/>
          <w:lang w:val="fr-FR"/>
        </w:rPr>
        <w:t>(</w:t>
      </w:r>
      <w:proofErr w:type="gramStart"/>
      <w:r w:rsidRPr="0046448B">
        <w:rPr>
          <w:rFonts w:ascii="Arial" w:hAnsi="Arial" w:cs="Arial"/>
          <w:sz w:val="16"/>
          <w:szCs w:val="16"/>
          <w:lang w:val="fr-FR"/>
        </w:rPr>
        <w:t>multiple</w:t>
      </w:r>
      <w:proofErr w:type="gramEnd"/>
      <w:r w:rsidRPr="0046448B">
        <w:rPr>
          <w:rFonts w:ascii="Arial" w:hAnsi="Arial" w:cs="Arial"/>
          <w:sz w:val="16"/>
          <w:szCs w:val="16"/>
          <w:lang w:val="fr-FR"/>
        </w:rPr>
        <w:t xml:space="preserve"> réponses possible)</w:t>
      </w:r>
    </w:p>
    <w:p w:rsidR="00280820" w:rsidRPr="00434866" w:rsidRDefault="00280820" w:rsidP="00BC1C2D">
      <w:pPr>
        <w:spacing w:line="276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8E3C9B" w:rsidRPr="00434866" w:rsidRDefault="00434866" w:rsidP="00BC1C2D">
      <w:pPr>
        <w:spacing w:line="276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434866">
        <w:rPr>
          <w:rFonts w:ascii="Arial" w:hAnsi="Arial" w:cs="Arial"/>
          <w:b/>
          <w:bCs/>
          <w:sz w:val="20"/>
          <w:szCs w:val="20"/>
          <w:lang w:val="fr-FR"/>
        </w:rPr>
        <w:t xml:space="preserve">Pouvez-vous recommander le salon </w:t>
      </w:r>
      <w:proofErr w:type="spellStart"/>
      <w:r w:rsidR="00233125" w:rsidRPr="00434866">
        <w:rPr>
          <w:rFonts w:ascii="Arial" w:hAnsi="Arial" w:cs="Arial"/>
          <w:b/>
          <w:bCs/>
          <w:sz w:val="20"/>
          <w:szCs w:val="20"/>
          <w:lang w:val="fr-FR"/>
        </w:rPr>
        <w:t>electro</w:t>
      </w:r>
      <w:proofErr w:type="spellEnd"/>
      <w:r w:rsidR="00233125" w:rsidRPr="00434866">
        <w:rPr>
          <w:rFonts w:ascii="Arial" w:hAnsi="Arial" w:cs="Arial"/>
          <w:b/>
          <w:bCs/>
          <w:sz w:val="20"/>
          <w:szCs w:val="20"/>
          <w:lang w:val="fr-FR"/>
        </w:rPr>
        <w:t>, automation &amp; energy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8E3C9B" w:rsidRPr="00434866">
        <w:rPr>
          <w:rFonts w:ascii="Arial" w:hAnsi="Arial" w:cs="Arial"/>
          <w:b/>
          <w:bCs/>
          <w:sz w:val="20"/>
          <w:szCs w:val="20"/>
          <w:lang w:val="fr-FR"/>
        </w:rPr>
        <w:t>?</w:t>
      </w:r>
    </w:p>
    <w:p w:rsidR="00F6629F" w:rsidRPr="00F461CF" w:rsidRDefault="00434866" w:rsidP="00BC1C2D">
      <w:pPr>
        <w:spacing w:line="276" w:lineRule="auto"/>
        <w:jc w:val="center"/>
        <w:rPr>
          <w:rFonts w:ascii="Arial" w:hAnsi="Arial" w:cs="Arial"/>
          <w:noProof/>
          <w:sz w:val="18"/>
          <w:szCs w:val="18"/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6EE74B63" wp14:editId="60A227BB">
            <wp:extent cx="3864634" cy="2234242"/>
            <wp:effectExtent l="0" t="0" r="2540" b="0"/>
            <wp:docPr id="21" name="Diagram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8E3C9B" w:rsidRPr="00F461CF">
        <w:rPr>
          <w:rFonts w:ascii="Arial" w:hAnsi="Arial" w:cs="Arial"/>
          <w:noProof/>
          <w:sz w:val="18"/>
          <w:szCs w:val="18"/>
          <w:lang w:val="fr-FR"/>
        </w:rPr>
        <w:t xml:space="preserve"> </w:t>
      </w:r>
    </w:p>
    <w:p w:rsidR="00434866" w:rsidRPr="00F461CF" w:rsidRDefault="00434866" w:rsidP="00BC1C2D">
      <w:pPr>
        <w:spacing w:line="276" w:lineRule="auto"/>
        <w:jc w:val="center"/>
        <w:rPr>
          <w:rFonts w:ascii="Arial" w:hAnsi="Arial" w:cs="Arial"/>
          <w:sz w:val="18"/>
          <w:szCs w:val="18"/>
          <w:lang w:val="fr-FR"/>
        </w:rPr>
      </w:pPr>
    </w:p>
    <w:p w:rsidR="009C1377" w:rsidRPr="00434866" w:rsidRDefault="00434866" w:rsidP="00434866">
      <w:pPr>
        <w:tabs>
          <w:tab w:val="left" w:pos="1080"/>
        </w:tabs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 w:rsidRPr="00434866">
        <w:rPr>
          <w:rFonts w:ascii="Arial" w:hAnsi="Arial" w:cs="Arial"/>
          <w:b/>
          <w:sz w:val="20"/>
          <w:szCs w:val="20"/>
          <w:lang w:val="fr-FR"/>
        </w:rPr>
        <w:lastRenderedPageBreak/>
        <w:t>Comment évaluez-vous les affirmations suivantes concernant les salons ?</w:t>
      </w:r>
      <w:r>
        <w:rPr>
          <w:noProof/>
          <w:lang w:val="en-GB" w:eastAsia="en-GB"/>
        </w:rPr>
        <w:drawing>
          <wp:inline distT="0" distB="0" distL="0" distR="0" wp14:anchorId="707DEAF0" wp14:editId="1CC43ECF">
            <wp:extent cx="6029864" cy="2570672"/>
            <wp:effectExtent l="0" t="0" r="0" b="1270"/>
            <wp:docPr id="23" name="Diagram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C0C75" w:rsidRPr="00434866" w:rsidRDefault="004C0C75" w:rsidP="00BC1C2D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434866" w:rsidRDefault="00434866" w:rsidP="00C770D4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434866">
        <w:rPr>
          <w:rFonts w:ascii="Arial" w:hAnsi="Arial" w:cs="Arial"/>
          <w:b/>
          <w:sz w:val="20"/>
          <w:szCs w:val="20"/>
          <w:lang w:val="fr-FR"/>
        </w:rPr>
        <w:t>Avec les services des organisations les exposants sont satisfaits…</w:t>
      </w:r>
    </w:p>
    <w:p w:rsidR="00A43421" w:rsidRPr="00434866" w:rsidRDefault="00434866" w:rsidP="00C770D4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0A556A4C" wp14:editId="04594B29">
            <wp:extent cx="6202393" cy="2277374"/>
            <wp:effectExtent l="0" t="0" r="8255" b="8890"/>
            <wp:docPr id="29" name="Diagram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sectPr w:rsidR="00A43421" w:rsidRPr="00434866" w:rsidSect="000C1F2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311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F4" w:rsidRDefault="00522FF4" w:rsidP="00842A3B">
      <w:r>
        <w:separator/>
      </w:r>
    </w:p>
  </w:endnote>
  <w:endnote w:type="continuationSeparator" w:id="0">
    <w:p w:rsidR="00522FF4" w:rsidRDefault="00522FF4" w:rsidP="008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F4" w:rsidRDefault="00522F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F4" w:rsidRDefault="00522FF4">
    <w:pPr>
      <w:pStyle w:val="Fuzeile"/>
    </w:pPr>
  </w:p>
  <w:p w:rsidR="00522FF4" w:rsidRDefault="00E809C1" w:rsidP="008E7C05">
    <w:pPr>
      <w:pStyle w:val="Fuzeile"/>
      <w:jc w:val="center"/>
    </w:pPr>
    <w:bookmarkStart w:id="0" w:name="_GoBack"/>
    <w:r>
      <w:rPr>
        <w:noProof/>
        <w:lang w:val="en-GB" w:eastAsia="en-GB"/>
      </w:rPr>
      <w:drawing>
        <wp:inline distT="0" distB="0" distL="0" distR="0">
          <wp:extent cx="1069676" cy="356559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trade_uf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18" cy="35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522FF4" w:rsidRDefault="00522FF4">
    <w:pPr>
      <w:pStyle w:val="Fuzeile"/>
    </w:pPr>
  </w:p>
  <w:p w:rsidR="00522FF4" w:rsidRDefault="00522FF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F4" w:rsidRDefault="00522F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F4" w:rsidRDefault="00522FF4" w:rsidP="00842A3B">
      <w:r>
        <w:separator/>
      </w:r>
    </w:p>
  </w:footnote>
  <w:footnote w:type="continuationSeparator" w:id="0">
    <w:p w:rsidR="00522FF4" w:rsidRDefault="00522FF4" w:rsidP="0084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F4" w:rsidRDefault="00522F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F4" w:rsidRPr="00EE046B" w:rsidRDefault="00522FF4" w:rsidP="008E7C05">
    <w:pPr>
      <w:pStyle w:val="Kopfzeile"/>
      <w:jc w:val="right"/>
    </w:pPr>
    <w:r>
      <w:rPr>
        <w:noProof/>
        <w:lang w:val="en-GB" w:eastAsia="en-GB"/>
      </w:rPr>
      <w:drawing>
        <wp:inline distT="0" distB="0" distL="0" distR="0">
          <wp:extent cx="2572789" cy="1373092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AI2012_logo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94" cy="137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F4" w:rsidRDefault="00522F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3A8"/>
    <w:multiLevelType w:val="hybridMultilevel"/>
    <w:tmpl w:val="9C6C7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56A5"/>
    <w:multiLevelType w:val="hybridMultilevel"/>
    <w:tmpl w:val="9AA64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44D39"/>
    <w:multiLevelType w:val="hybridMultilevel"/>
    <w:tmpl w:val="F22E618E"/>
    <w:lvl w:ilvl="0" w:tplc="759C5F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3B"/>
    <w:rsid w:val="00003CD1"/>
    <w:rsid w:val="000132B5"/>
    <w:rsid w:val="000243E5"/>
    <w:rsid w:val="00047E8C"/>
    <w:rsid w:val="000654B9"/>
    <w:rsid w:val="000826A5"/>
    <w:rsid w:val="00082E69"/>
    <w:rsid w:val="0009417A"/>
    <w:rsid w:val="000A39D7"/>
    <w:rsid w:val="000C1F2B"/>
    <w:rsid w:val="000C283F"/>
    <w:rsid w:val="000D293B"/>
    <w:rsid w:val="000D43D8"/>
    <w:rsid w:val="00101A6E"/>
    <w:rsid w:val="00110A04"/>
    <w:rsid w:val="00117182"/>
    <w:rsid w:val="0013765C"/>
    <w:rsid w:val="00137999"/>
    <w:rsid w:val="00144313"/>
    <w:rsid w:val="0014686D"/>
    <w:rsid w:val="00162788"/>
    <w:rsid w:val="00167C65"/>
    <w:rsid w:val="001A2B26"/>
    <w:rsid w:val="001B5905"/>
    <w:rsid w:val="001C567F"/>
    <w:rsid w:val="001E58C7"/>
    <w:rsid w:val="00233125"/>
    <w:rsid w:val="00233310"/>
    <w:rsid w:val="00245D75"/>
    <w:rsid w:val="00263950"/>
    <w:rsid w:val="00267149"/>
    <w:rsid w:val="00277337"/>
    <w:rsid w:val="00280820"/>
    <w:rsid w:val="00283346"/>
    <w:rsid w:val="002858FC"/>
    <w:rsid w:val="002C5444"/>
    <w:rsid w:val="002C6FEE"/>
    <w:rsid w:val="002D4F9F"/>
    <w:rsid w:val="002D673E"/>
    <w:rsid w:val="002E2240"/>
    <w:rsid w:val="002F4E39"/>
    <w:rsid w:val="002F51E3"/>
    <w:rsid w:val="00314384"/>
    <w:rsid w:val="00315077"/>
    <w:rsid w:val="00315BD4"/>
    <w:rsid w:val="0032090F"/>
    <w:rsid w:val="00322E81"/>
    <w:rsid w:val="00326CC6"/>
    <w:rsid w:val="00340BD9"/>
    <w:rsid w:val="00386A92"/>
    <w:rsid w:val="003924E6"/>
    <w:rsid w:val="003A225F"/>
    <w:rsid w:val="003B2C50"/>
    <w:rsid w:val="00411DFA"/>
    <w:rsid w:val="0042744E"/>
    <w:rsid w:val="00434866"/>
    <w:rsid w:val="0045117F"/>
    <w:rsid w:val="00476958"/>
    <w:rsid w:val="00482251"/>
    <w:rsid w:val="004C0C75"/>
    <w:rsid w:val="004C4295"/>
    <w:rsid w:val="004D6AB6"/>
    <w:rsid w:val="004E42D6"/>
    <w:rsid w:val="00522FF4"/>
    <w:rsid w:val="00525862"/>
    <w:rsid w:val="00531EF2"/>
    <w:rsid w:val="00555106"/>
    <w:rsid w:val="005664C5"/>
    <w:rsid w:val="005A1619"/>
    <w:rsid w:val="005B6EBB"/>
    <w:rsid w:val="005C65C9"/>
    <w:rsid w:val="005E2C06"/>
    <w:rsid w:val="0060021F"/>
    <w:rsid w:val="00606C60"/>
    <w:rsid w:val="00632CFF"/>
    <w:rsid w:val="0063375A"/>
    <w:rsid w:val="0063462C"/>
    <w:rsid w:val="00650D91"/>
    <w:rsid w:val="00654797"/>
    <w:rsid w:val="00673847"/>
    <w:rsid w:val="006B1BB4"/>
    <w:rsid w:val="006B63F8"/>
    <w:rsid w:val="007061DC"/>
    <w:rsid w:val="007345FD"/>
    <w:rsid w:val="00737D15"/>
    <w:rsid w:val="0074032C"/>
    <w:rsid w:val="007605BD"/>
    <w:rsid w:val="00771965"/>
    <w:rsid w:val="00777074"/>
    <w:rsid w:val="0079568F"/>
    <w:rsid w:val="00795966"/>
    <w:rsid w:val="007A550D"/>
    <w:rsid w:val="007C6241"/>
    <w:rsid w:val="007D161D"/>
    <w:rsid w:val="007F297E"/>
    <w:rsid w:val="00816ECD"/>
    <w:rsid w:val="00842A3B"/>
    <w:rsid w:val="008509D5"/>
    <w:rsid w:val="00886457"/>
    <w:rsid w:val="00891B5A"/>
    <w:rsid w:val="008954FF"/>
    <w:rsid w:val="008C090D"/>
    <w:rsid w:val="008C6E7A"/>
    <w:rsid w:val="008D555D"/>
    <w:rsid w:val="008E3C9B"/>
    <w:rsid w:val="008E409B"/>
    <w:rsid w:val="008E4EA6"/>
    <w:rsid w:val="008E7C05"/>
    <w:rsid w:val="008F096D"/>
    <w:rsid w:val="008F12A3"/>
    <w:rsid w:val="008F2E32"/>
    <w:rsid w:val="008F3FC0"/>
    <w:rsid w:val="00926098"/>
    <w:rsid w:val="009334B1"/>
    <w:rsid w:val="009512E0"/>
    <w:rsid w:val="00974EF2"/>
    <w:rsid w:val="0097690C"/>
    <w:rsid w:val="00982145"/>
    <w:rsid w:val="00991C3F"/>
    <w:rsid w:val="009A442D"/>
    <w:rsid w:val="009B183D"/>
    <w:rsid w:val="009C1377"/>
    <w:rsid w:val="00A01BFB"/>
    <w:rsid w:val="00A32E71"/>
    <w:rsid w:val="00A43421"/>
    <w:rsid w:val="00A56168"/>
    <w:rsid w:val="00A77BBB"/>
    <w:rsid w:val="00A9188F"/>
    <w:rsid w:val="00AA01ED"/>
    <w:rsid w:val="00AE6A02"/>
    <w:rsid w:val="00AF2CB5"/>
    <w:rsid w:val="00B04C37"/>
    <w:rsid w:val="00B253B1"/>
    <w:rsid w:val="00B4083E"/>
    <w:rsid w:val="00B41F5D"/>
    <w:rsid w:val="00B568A0"/>
    <w:rsid w:val="00B6251E"/>
    <w:rsid w:val="00B62B1B"/>
    <w:rsid w:val="00B77A95"/>
    <w:rsid w:val="00B86DC8"/>
    <w:rsid w:val="00B878E8"/>
    <w:rsid w:val="00BA3079"/>
    <w:rsid w:val="00BA472E"/>
    <w:rsid w:val="00BA629B"/>
    <w:rsid w:val="00BB4957"/>
    <w:rsid w:val="00BB508C"/>
    <w:rsid w:val="00BC1C2D"/>
    <w:rsid w:val="00BD53D8"/>
    <w:rsid w:val="00BD6A8E"/>
    <w:rsid w:val="00BF16B8"/>
    <w:rsid w:val="00BF3ADE"/>
    <w:rsid w:val="00C13E2F"/>
    <w:rsid w:val="00C15AB2"/>
    <w:rsid w:val="00C223EC"/>
    <w:rsid w:val="00C47AD5"/>
    <w:rsid w:val="00C67A7C"/>
    <w:rsid w:val="00C7050D"/>
    <w:rsid w:val="00C76116"/>
    <w:rsid w:val="00C770D4"/>
    <w:rsid w:val="00C95D2B"/>
    <w:rsid w:val="00CD1504"/>
    <w:rsid w:val="00CF0EF9"/>
    <w:rsid w:val="00D07E0D"/>
    <w:rsid w:val="00D109C1"/>
    <w:rsid w:val="00D2378D"/>
    <w:rsid w:val="00D34B20"/>
    <w:rsid w:val="00D65043"/>
    <w:rsid w:val="00D756A7"/>
    <w:rsid w:val="00D82A57"/>
    <w:rsid w:val="00D8324A"/>
    <w:rsid w:val="00DB1AE8"/>
    <w:rsid w:val="00DE4B89"/>
    <w:rsid w:val="00DF0B3E"/>
    <w:rsid w:val="00DF2A93"/>
    <w:rsid w:val="00E41A77"/>
    <w:rsid w:val="00E4766F"/>
    <w:rsid w:val="00E5580F"/>
    <w:rsid w:val="00E563FC"/>
    <w:rsid w:val="00E56B57"/>
    <w:rsid w:val="00E56B8B"/>
    <w:rsid w:val="00E679E6"/>
    <w:rsid w:val="00E809C1"/>
    <w:rsid w:val="00EA0797"/>
    <w:rsid w:val="00EB2D55"/>
    <w:rsid w:val="00EB42FE"/>
    <w:rsid w:val="00EB4A45"/>
    <w:rsid w:val="00EE046B"/>
    <w:rsid w:val="00F071FD"/>
    <w:rsid w:val="00F15286"/>
    <w:rsid w:val="00F2198B"/>
    <w:rsid w:val="00F22713"/>
    <w:rsid w:val="00F354D2"/>
    <w:rsid w:val="00F461CF"/>
    <w:rsid w:val="00F50026"/>
    <w:rsid w:val="00F6629F"/>
    <w:rsid w:val="00F81800"/>
    <w:rsid w:val="00F8650F"/>
    <w:rsid w:val="00F876D6"/>
    <w:rsid w:val="00F925E5"/>
    <w:rsid w:val="00FB2F14"/>
    <w:rsid w:val="00FB3FC8"/>
    <w:rsid w:val="00FB4F50"/>
    <w:rsid w:val="00FB5F3F"/>
    <w:rsid w:val="00FD6320"/>
    <w:rsid w:val="00FE7680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2A3B"/>
  </w:style>
  <w:style w:type="paragraph" w:styleId="Fuzeile">
    <w:name w:val="footer"/>
    <w:basedOn w:val="Standard"/>
    <w:link w:val="FuzeileZchn"/>
    <w:unhideWhenUsed/>
    <w:rsid w:val="00842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2A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42A3B"/>
  </w:style>
  <w:style w:type="character" w:styleId="Hyperlink">
    <w:name w:val="Hyperlink"/>
    <w:basedOn w:val="Absatz-Standardschriftart"/>
    <w:uiPriority w:val="99"/>
    <w:unhideWhenUsed/>
    <w:rsid w:val="00082E6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161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2744E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A01ED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4C4295"/>
    <w:pPr>
      <w:spacing w:before="100" w:beforeAutospacing="1" w:after="100" w:afterAutospacing="1"/>
    </w:pPr>
    <w:rPr>
      <w:lang w:val="en-GB" w:eastAsia="en-GB"/>
    </w:rPr>
  </w:style>
  <w:style w:type="paragraph" w:customStyle="1" w:styleId="align-justify">
    <w:name w:val="align-justify"/>
    <w:basedOn w:val="Standard"/>
    <w:rsid w:val="004C4295"/>
    <w:pPr>
      <w:spacing w:before="100" w:beforeAutospacing="1" w:after="100" w:afterAutospacing="1"/>
    </w:pPr>
    <w:rPr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1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1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1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1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1C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2A3B"/>
  </w:style>
  <w:style w:type="paragraph" w:styleId="Fuzeile">
    <w:name w:val="footer"/>
    <w:basedOn w:val="Standard"/>
    <w:link w:val="FuzeileZchn"/>
    <w:unhideWhenUsed/>
    <w:rsid w:val="00842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2A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42A3B"/>
  </w:style>
  <w:style w:type="character" w:styleId="Hyperlink">
    <w:name w:val="Hyperlink"/>
    <w:basedOn w:val="Absatz-Standardschriftart"/>
    <w:uiPriority w:val="99"/>
    <w:unhideWhenUsed/>
    <w:rsid w:val="00082E6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161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2744E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A01ED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4C4295"/>
    <w:pPr>
      <w:spacing w:before="100" w:beforeAutospacing="1" w:after="100" w:afterAutospacing="1"/>
    </w:pPr>
    <w:rPr>
      <w:lang w:val="en-GB" w:eastAsia="en-GB"/>
    </w:rPr>
  </w:style>
  <w:style w:type="paragraph" w:customStyle="1" w:styleId="align-justify">
    <w:name w:val="align-justify"/>
    <w:basedOn w:val="Standard"/>
    <w:rsid w:val="004C4295"/>
    <w:pPr>
      <w:spacing w:before="100" w:beforeAutospacing="1" w:after="100" w:afterAutospacing="1"/>
    </w:pPr>
    <w:rPr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1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1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1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1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1C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5" Type="http://schemas.openxmlformats.org/officeDocument/2006/relationships/chart" Target="charts/chart5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3.bin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hart" Target="charts/chart4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T-SRV01\DATEN\2012\electro%202012\Post%20Show%20Report\Auswertungen%20Besucherbefragu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T-SRV01\DATEN\2012\electro%202012\Post%20Show%20Report\Auswertungen%20Besucherbefragung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FT-SRV01\DATEN\2012\electro%202012\Post%20Show%20Report\Auswertungen%20Besucherbefragung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FT-SRV01\DATEN\2012\electro%202012\Post%20Show%20Report\Auswertungen%20Besucherbefragung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T-SRV01\DATEN\2012\electro%202012\Post%20Show%20Report\Auswertungen%20Besucherbefragung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T-SRV01\DATEN\2012\electro%202012\Post%20Show%20Report\Auswertungen%20Ausstellerbefragung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T-SRV01\DATEN\2012\electro%202012\Post%20Show%20Report\Auswertungen%20Ausstellerbefragung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FT-SRV01\DATEN\2012\electro%202012\Post%20Show%20Report\Auswertungen%20Ausstellerbefragung.xlsx" TargetMode="External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FT-SRV01\DATEN\2012\electro%202012\Post%20Show%20Report\Auswertungen%20Ausstellerbefragung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206255468066494E-2"/>
          <c:y val="5.1284631087780697E-2"/>
          <c:w val="0.87223818897637795"/>
          <c:h val="0.817556867891513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Tabelle1!$B$3</c:f>
              <c:strCache>
                <c:ptCount val="1"/>
                <c:pt idx="0">
                  <c:v>Algérie</c:v>
                </c:pt>
              </c:strCache>
            </c:strRef>
          </c:tx>
          <c:invertIfNegative val="0"/>
          <c:cat>
            <c:strRef>
              <c:f>Tabelle1!$C$2:$F$2</c:f>
              <c:strCache>
                <c:ptCount val="4"/>
                <c:pt idx="0">
                  <c:v>Jour 1</c:v>
                </c:pt>
                <c:pt idx="1">
                  <c:v>Jour 2</c:v>
                </c:pt>
                <c:pt idx="2">
                  <c:v>Jour 3</c:v>
                </c:pt>
                <c:pt idx="3">
                  <c:v>Jour 4</c:v>
                </c:pt>
              </c:strCache>
            </c:strRef>
          </c:cat>
          <c:val>
            <c:numRef>
              <c:f>Tabelle1!$C$3:$F$3</c:f>
              <c:numCache>
                <c:formatCode>General</c:formatCode>
                <c:ptCount val="4"/>
                <c:pt idx="0">
                  <c:v>481</c:v>
                </c:pt>
                <c:pt idx="1">
                  <c:v>522</c:v>
                </c:pt>
                <c:pt idx="2">
                  <c:v>594</c:v>
                </c:pt>
                <c:pt idx="3">
                  <c:v>292</c:v>
                </c:pt>
              </c:numCache>
            </c:numRef>
          </c:val>
        </c:ser>
        <c:ser>
          <c:idx val="1"/>
          <c:order val="1"/>
          <c:tx>
            <c:strRef>
              <c:f>Tabelle1!$B$4</c:f>
              <c:strCache>
                <c:ptCount val="1"/>
                <c:pt idx="0">
                  <c:v>International</c:v>
                </c:pt>
              </c:strCache>
            </c:strRef>
          </c:tx>
          <c:invertIfNegative val="0"/>
          <c:cat>
            <c:strRef>
              <c:f>Tabelle1!$C$2:$F$2</c:f>
              <c:strCache>
                <c:ptCount val="4"/>
                <c:pt idx="0">
                  <c:v>Jour 1</c:v>
                </c:pt>
                <c:pt idx="1">
                  <c:v>Jour 2</c:v>
                </c:pt>
                <c:pt idx="2">
                  <c:v>Jour 3</c:v>
                </c:pt>
                <c:pt idx="3">
                  <c:v>Jour 4</c:v>
                </c:pt>
              </c:strCache>
            </c:strRef>
          </c:cat>
          <c:val>
            <c:numRef>
              <c:f>Tabelle1!$C$4:$F$4</c:f>
              <c:numCache>
                <c:formatCode>General</c:formatCode>
                <c:ptCount val="4"/>
                <c:pt idx="0">
                  <c:v>22</c:v>
                </c:pt>
                <c:pt idx="1">
                  <c:v>25</c:v>
                </c:pt>
                <c:pt idx="2">
                  <c:v>25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63052800"/>
        <c:axId val="63058688"/>
      </c:barChart>
      <c:catAx>
        <c:axId val="630528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0"/>
            </a:pPr>
            <a:endParaRPr lang="en-US"/>
          </a:p>
        </c:txPr>
        <c:crossAx val="63058688"/>
        <c:crosses val="autoZero"/>
        <c:auto val="1"/>
        <c:lblAlgn val="ctr"/>
        <c:lblOffset val="100"/>
        <c:noMultiLvlLbl val="0"/>
      </c:catAx>
      <c:valAx>
        <c:axId val="63058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0"/>
            </a:pPr>
            <a:endParaRPr lang="en-US"/>
          </a:p>
        </c:txPr>
        <c:crossAx val="6305280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17807305336832896"/>
          <c:y val="2.2993219597550341E-2"/>
          <c:w val="0.4049647856517935"/>
          <c:h val="8.3488261883931172E-2"/>
        </c:manualLayout>
      </c:layout>
      <c:overlay val="0"/>
      <c:txPr>
        <a:bodyPr/>
        <a:lstStyle/>
        <a:p>
          <a:pPr>
            <a:defRPr sz="1000" b="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Verdana" pitchFamily="34" charset="0"/>
          <a:ea typeface="Verdana" pitchFamily="34" charset="0"/>
          <a:cs typeface="Verdana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0.12493494238652925"/>
                  <c:y val="3.20588217465888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Tabelle1!$B$10:$B$26</c:f>
              <c:strCache>
                <c:ptCount val="17"/>
                <c:pt idx="0">
                  <c:v>Angola</c:v>
                </c:pt>
                <c:pt idx="1">
                  <c:v>Canada</c:v>
                </c:pt>
                <c:pt idx="2">
                  <c:v>Chine</c:v>
                </c:pt>
                <c:pt idx="3">
                  <c:v>Congo</c:v>
                </c:pt>
                <c:pt idx="4">
                  <c:v>Emirats Arabes Unis</c:v>
                </c:pt>
                <c:pt idx="5">
                  <c:v>Iran</c:v>
                </c:pt>
                <c:pt idx="6">
                  <c:v>Togo</c:v>
                </c:pt>
                <c:pt idx="7">
                  <c:v>Anguilla</c:v>
                </c:pt>
                <c:pt idx="8">
                  <c:v>Portugal</c:v>
                </c:pt>
                <c:pt idx="9">
                  <c:v>Andorre</c:v>
                </c:pt>
                <c:pt idx="10">
                  <c:v>Maroc</c:v>
                </c:pt>
                <c:pt idx="11">
                  <c:v>Tunisie</c:v>
                </c:pt>
                <c:pt idx="12">
                  <c:v>Turquie</c:v>
                </c:pt>
                <c:pt idx="13">
                  <c:v>Italie</c:v>
                </c:pt>
                <c:pt idx="14">
                  <c:v>Allemagne</c:v>
                </c:pt>
                <c:pt idx="15">
                  <c:v>Espagne</c:v>
                </c:pt>
                <c:pt idx="16">
                  <c:v>France</c:v>
                </c:pt>
              </c:strCache>
            </c:strRef>
          </c:cat>
          <c:val>
            <c:numRef>
              <c:f>Tabelle1!$C$10:$C$26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6</c:v>
                </c:pt>
                <c:pt idx="14">
                  <c:v>13</c:v>
                </c:pt>
                <c:pt idx="15">
                  <c:v>14</c:v>
                </c:pt>
                <c:pt idx="16">
                  <c:v>16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104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  <a:ea typeface="Verdana" pitchFamily="34" charset="0"/>
          <a:cs typeface="Verdana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Tabelle1!$B$78:$B$82</c:f>
              <c:strCache>
                <c:ptCount val="5"/>
                <c:pt idx="0">
                  <c:v>1-10</c:v>
                </c:pt>
                <c:pt idx="1">
                  <c:v>11-50</c:v>
                </c:pt>
                <c:pt idx="2">
                  <c:v>51-500</c:v>
                </c:pt>
                <c:pt idx="3">
                  <c:v>501-1000</c:v>
                </c:pt>
                <c:pt idx="4">
                  <c:v>+1000</c:v>
                </c:pt>
              </c:strCache>
            </c:strRef>
          </c:cat>
          <c:val>
            <c:numRef>
              <c:f>Tabelle1!$C$78:$C$82</c:f>
              <c:numCache>
                <c:formatCode>0.0%</c:formatCode>
                <c:ptCount val="5"/>
                <c:pt idx="0">
                  <c:v>0.44632469592808038</c:v>
                </c:pt>
                <c:pt idx="1">
                  <c:v>0.1872025383395029</c:v>
                </c:pt>
                <c:pt idx="2">
                  <c:v>4.1776837652035957E-2</c:v>
                </c:pt>
                <c:pt idx="3">
                  <c:v>0.17028027498677947</c:v>
                </c:pt>
                <c:pt idx="4">
                  <c:v>0.15441565309360128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3107456"/>
        <c:axId val="63110144"/>
      </c:barChart>
      <c:catAx>
        <c:axId val="63107456"/>
        <c:scaling>
          <c:orientation val="minMax"/>
        </c:scaling>
        <c:delete val="0"/>
        <c:axPos val="l"/>
        <c:majorTickMark val="none"/>
        <c:minorTickMark val="none"/>
        <c:tickLblPos val="nextTo"/>
        <c:crossAx val="63110144"/>
        <c:crosses val="autoZero"/>
        <c:auto val="1"/>
        <c:lblAlgn val="ctr"/>
        <c:lblOffset val="100"/>
        <c:noMultiLvlLbl val="0"/>
      </c:catAx>
      <c:valAx>
        <c:axId val="631101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63107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itchFamily="34" charset="0"/>
          <a:ea typeface="Verdana" pitchFamily="34" charset="0"/>
          <a:cs typeface="Arial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435847114855323E-2"/>
          <c:y val="0.14326626928643266"/>
          <c:w val="0.58009876425021345"/>
          <c:h val="0.71346726518998216"/>
        </c:manualLayout>
      </c:layout>
      <c:pieChart>
        <c:varyColors val="1"/>
        <c:ser>
          <c:idx val="0"/>
          <c:order val="0"/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Tabelle1!$B$61:$B$74</c:f>
              <c:strCache>
                <c:ptCount val="14"/>
                <c:pt idx="0">
                  <c:v>PDG / DG / Gérant</c:v>
                </c:pt>
                <c:pt idx="1">
                  <c:v>Ingénieur syst. &amp; mainten.</c:v>
                </c:pt>
                <c:pt idx="2">
                  <c:v>Autre</c:v>
                </c:pt>
                <c:pt idx="3">
                  <c:v>Responsable technique</c:v>
                </c:pt>
                <c:pt idx="4">
                  <c:v>Etudiant</c:v>
                </c:pt>
                <c:pt idx="5">
                  <c:v>Chef de projet</c:v>
                </c:pt>
                <c:pt idx="6">
                  <c:v>Directeur commercial / marketing</c:v>
                </c:pt>
                <c:pt idx="7">
                  <c:v>Consultant</c:v>
                </c:pt>
                <c:pt idx="8">
                  <c:v>Directeur des achats</c:v>
                </c:pt>
                <c:pt idx="9">
                  <c:v>Enseignant</c:v>
                </c:pt>
                <c:pt idx="10">
                  <c:v>Responsable financier</c:v>
                </c:pt>
                <c:pt idx="11">
                  <c:v>Presse</c:v>
                </c:pt>
                <c:pt idx="12">
                  <c:v>Responsable production inform.</c:v>
                </c:pt>
                <c:pt idx="13">
                  <c:v>Directeur informatique</c:v>
                </c:pt>
              </c:strCache>
            </c:strRef>
          </c:cat>
          <c:val>
            <c:numRef>
              <c:f>Tabelle1!$C$61:$C$74</c:f>
              <c:numCache>
                <c:formatCode>0%</c:formatCode>
                <c:ptCount val="14"/>
                <c:pt idx="0">
                  <c:v>0.2299794661190965</c:v>
                </c:pt>
                <c:pt idx="1">
                  <c:v>0.14117043121149897</c:v>
                </c:pt>
                <c:pt idx="2">
                  <c:v>0.11806981519507187</c:v>
                </c:pt>
                <c:pt idx="3">
                  <c:v>0.10728952772073921</c:v>
                </c:pt>
                <c:pt idx="4">
                  <c:v>0.10677618069815195</c:v>
                </c:pt>
                <c:pt idx="5">
                  <c:v>7.7002053388090352E-2</c:v>
                </c:pt>
                <c:pt idx="6">
                  <c:v>6.5708418891170434E-2</c:v>
                </c:pt>
                <c:pt idx="7">
                  <c:v>4.7227926078028747E-2</c:v>
                </c:pt>
                <c:pt idx="8">
                  <c:v>3.0800821355236138E-2</c:v>
                </c:pt>
                <c:pt idx="9">
                  <c:v>2.8747433264887063E-2</c:v>
                </c:pt>
                <c:pt idx="10">
                  <c:v>2.0020533880903489E-2</c:v>
                </c:pt>
                <c:pt idx="11">
                  <c:v>1.4887063655030801E-2</c:v>
                </c:pt>
                <c:pt idx="12">
                  <c:v>8.2135523613963042E-3</c:v>
                </c:pt>
                <c:pt idx="13">
                  <c:v>4.1067761806981521E-3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78"/>
      </c:pieChart>
    </c:plotArea>
    <c:legend>
      <c:legendPos val="r"/>
      <c:overlay val="0"/>
      <c:spPr>
        <a:ln>
          <a:noFill/>
        </a:ln>
      </c:spPr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  <a:ea typeface="Verdana" pitchFamily="34" charset="0"/>
          <a:cs typeface="Verdana" pitchFamily="34" charset="0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Tabelle1!$B$30:$B$57</c:f>
              <c:strCache>
                <c:ptCount val="28"/>
                <c:pt idx="0">
                  <c:v>Industrie de l’ameublement</c:v>
                </c:pt>
                <c:pt idx="1">
                  <c:v>Industrie des textiles</c:v>
                </c:pt>
                <c:pt idx="2">
                  <c:v>Industrie pharmaceutique et cosmétique</c:v>
                </c:pt>
                <c:pt idx="3">
                  <c:v>Banques et assurances</c:v>
                </c:pt>
                <c:pt idx="4">
                  <c:v>Secteur de la santé</c:v>
                </c:pt>
                <c:pt idx="5">
                  <c:v>Tourisme, hôtels, gastronomie</c:v>
                </c:pt>
                <c:pt idx="6">
                  <c:v>Secteur agricole</c:v>
                </c:pt>
                <c:pt idx="7">
                  <c:v>Industrie automobile</c:v>
                </c:pt>
                <c:pt idx="8">
                  <c:v>Profession libérales</c:v>
                </c:pt>
                <c:pt idx="9">
                  <c:v>Industrie chimique</c:v>
                </c:pt>
                <c:pt idx="10">
                  <c:v>Industrie des plastiques</c:v>
                </c:pt>
                <c:pt idx="11">
                  <c:v>Secteur renouvelables</c:v>
                </c:pt>
                <c:pt idx="12">
                  <c:v>Impression / papier / emballages</c:v>
                </c:pt>
                <c:pt idx="13">
                  <c:v>Technologie du froid, de climatisation et de  ventilation</c:v>
                </c:pt>
                <c:pt idx="14">
                  <c:v>Technologies de l’eau et des eaux usées</c:v>
                </c:pt>
                <c:pt idx="15">
                  <c:v>Villes et commu travaux publics</c:v>
                </c:pt>
                <c:pt idx="16">
                  <c:v>Technologies de l’environnement</c:v>
                </c:pt>
                <c:pt idx="17">
                  <c:v>Pétrochimie</c:v>
                </c:pt>
                <c:pt idx="18">
                  <c:v>Industrie de l’alimentation</c:v>
                </c:pt>
                <c:pt idx="19">
                  <c:v>Industrie des métaux</c:v>
                </c:pt>
                <c:pt idx="20">
                  <c:v>Électrotechnique</c:v>
                </c:pt>
                <c:pt idx="21">
                  <c:v>Télécoms et technologies  de l’information</c:v>
                </c:pt>
                <c:pt idx="22">
                  <c:v>Exploitants de centrale et producteurs d’énergie</c:v>
                </c:pt>
                <c:pt idx="23">
                  <c:v>Administration publique</c:v>
                </c:pt>
                <c:pt idx="24">
                  <c:v>Services</c:v>
                </c:pt>
                <c:pt idx="25">
                  <c:v>Équipementiers et  fournisseurs de l’industrie</c:v>
                </c:pt>
                <c:pt idx="26">
                  <c:v>Formation</c:v>
                </c:pt>
                <c:pt idx="27">
                  <c:v>Secteur du bâtiment, technique du bâtiment et maintenance</c:v>
                </c:pt>
              </c:strCache>
            </c:strRef>
          </c:cat>
          <c:val>
            <c:numRef>
              <c:f>Tabelle1!$C$30:$C$57</c:f>
              <c:numCache>
                <c:formatCode>0.0%</c:formatCode>
                <c:ptCount val="28"/>
                <c:pt idx="0">
                  <c:v>5.4163845633039944E-3</c:v>
                </c:pt>
                <c:pt idx="1">
                  <c:v>5.4163845633039944E-3</c:v>
                </c:pt>
                <c:pt idx="2">
                  <c:v>6.093432633716994E-3</c:v>
                </c:pt>
                <c:pt idx="3">
                  <c:v>7.4475287745429924E-3</c:v>
                </c:pt>
                <c:pt idx="4">
                  <c:v>7.4475287745429924E-3</c:v>
                </c:pt>
                <c:pt idx="5">
                  <c:v>7.4475287745429924E-3</c:v>
                </c:pt>
                <c:pt idx="6">
                  <c:v>8.124576844955992E-3</c:v>
                </c:pt>
                <c:pt idx="7">
                  <c:v>8.124576844955992E-3</c:v>
                </c:pt>
                <c:pt idx="8">
                  <c:v>1.0155721056194989E-2</c:v>
                </c:pt>
                <c:pt idx="9">
                  <c:v>1.1509817197020988E-2</c:v>
                </c:pt>
                <c:pt idx="10">
                  <c:v>1.2186865267433988E-2</c:v>
                </c:pt>
                <c:pt idx="11">
                  <c:v>1.2186865267433988E-2</c:v>
                </c:pt>
                <c:pt idx="12">
                  <c:v>1.4895057549085985E-2</c:v>
                </c:pt>
                <c:pt idx="13">
                  <c:v>1.6249153689911984E-2</c:v>
                </c:pt>
                <c:pt idx="14">
                  <c:v>1.6926201760324982E-2</c:v>
                </c:pt>
                <c:pt idx="15">
                  <c:v>1.963439404197698E-2</c:v>
                </c:pt>
                <c:pt idx="16">
                  <c:v>2.1665538253215978E-2</c:v>
                </c:pt>
                <c:pt idx="17">
                  <c:v>2.2342586323628979E-2</c:v>
                </c:pt>
                <c:pt idx="18">
                  <c:v>2.7758970886932972E-2</c:v>
                </c:pt>
                <c:pt idx="19">
                  <c:v>2.843601895734597E-2</c:v>
                </c:pt>
                <c:pt idx="20">
                  <c:v>3.4529451591062965E-2</c:v>
                </c:pt>
                <c:pt idx="21">
                  <c:v>4.8070412999322951E-2</c:v>
                </c:pt>
                <c:pt idx="22">
                  <c:v>6.2965470548408939E-2</c:v>
                </c:pt>
                <c:pt idx="23">
                  <c:v>7.8537576167907922E-2</c:v>
                </c:pt>
                <c:pt idx="24">
                  <c:v>9.4786729857819899E-2</c:v>
                </c:pt>
                <c:pt idx="25">
                  <c:v>0.11509817197020988</c:v>
                </c:pt>
                <c:pt idx="26">
                  <c:v>0.14218009478672985</c:v>
                </c:pt>
                <c:pt idx="27">
                  <c:v>0.15436696005416384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3144320"/>
        <c:axId val="63147008"/>
      </c:barChart>
      <c:catAx>
        <c:axId val="63144320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63147008"/>
        <c:crosses val="autoZero"/>
        <c:auto val="1"/>
        <c:lblAlgn val="l"/>
        <c:lblOffset val="100"/>
        <c:noMultiLvlLbl val="0"/>
      </c:catAx>
      <c:valAx>
        <c:axId val="6314700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63144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  <a:ea typeface="Verdana" pitchFamily="34" charset="0"/>
          <a:cs typeface="Verdana" pitchFamily="3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745786275331397"/>
          <c:y val="3.6393713813068655E-2"/>
          <c:w val="0.53254213724668609"/>
          <c:h val="0.8509074330969175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Tabelle2!$B$22</c:f>
              <c:strCache>
                <c:ptCount val="1"/>
                <c:pt idx="0">
                  <c:v>Oui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1.32231404958677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elete val="1"/>
            </c:dLbl>
            <c:dLbl>
              <c:idx val="11"/>
              <c:layout>
                <c:manualLayout>
                  <c:x val="1.32231404958677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Tabelle2!$A$23:$A$34</c:f>
              <c:strCache>
                <c:ptCount val="12"/>
                <c:pt idx="0">
                  <c:v>Mise à jour des connaissances du marché</c:v>
                </c:pt>
                <c:pt idx="1">
                  <c:v>Orientation sur le marché actuel</c:v>
                </c:pt>
                <c:pt idx="2">
                  <c:v>Vérification de la compétitivité</c:v>
                </c:pt>
                <c:pt idx="3">
                  <c:v>Entretien des relations commerciales existantes</c:v>
                </c:pt>
                <c:pt idx="4">
                  <c:v>Développement des contacts commerciaux</c:v>
                </c:pt>
                <c:pt idx="5">
                  <c:v>Accroissement de la notoriété de l’entreprise</c:v>
                </c:pt>
                <c:pt idx="6">
                  <c:v>Accroissement de la notoriété des produits</c:v>
                </c:pt>
                <c:pt idx="7">
                  <c:v>Maintien et entretien du réseau de distribution</c:v>
                </c:pt>
                <c:pt idx="8">
                  <c:v>Développement du réseau de distribution</c:v>
                </c:pt>
                <c:pt idx="9">
                  <c:v>Augmentation de la part de marché</c:v>
                </c:pt>
                <c:pt idx="10">
                  <c:v>Estimer l’acceptation des produits sur le marché</c:v>
                </c:pt>
                <c:pt idx="11">
                  <c:v>Lancement de produits innovants  </c:v>
                </c:pt>
              </c:strCache>
            </c:strRef>
          </c:cat>
          <c:val>
            <c:numRef>
              <c:f>Tabelle2!$B$23:$B$34</c:f>
              <c:numCache>
                <c:formatCode>0.0%</c:formatCode>
                <c:ptCount val="12"/>
                <c:pt idx="0">
                  <c:v>0.5</c:v>
                </c:pt>
                <c:pt idx="1">
                  <c:v>0.1875</c:v>
                </c:pt>
                <c:pt idx="2">
                  <c:v>0.33333333333333331</c:v>
                </c:pt>
                <c:pt idx="3">
                  <c:v>0.47058823529411764</c:v>
                </c:pt>
                <c:pt idx="4">
                  <c:v>0.36842105263157893</c:v>
                </c:pt>
                <c:pt idx="5">
                  <c:v>0.22222222222222221</c:v>
                </c:pt>
                <c:pt idx="6">
                  <c:v>0.2</c:v>
                </c:pt>
                <c:pt idx="7">
                  <c:v>0.375</c:v>
                </c:pt>
                <c:pt idx="8">
                  <c:v>9.0909090909090912E-2</c:v>
                </c:pt>
                <c:pt idx="9">
                  <c:v>0</c:v>
                </c:pt>
                <c:pt idx="10">
                  <c:v>0.23076923076923078</c:v>
                </c:pt>
                <c:pt idx="11">
                  <c:v>0.15384615384615385</c:v>
                </c:pt>
              </c:numCache>
            </c:numRef>
          </c:val>
        </c:ser>
        <c:ser>
          <c:idx val="1"/>
          <c:order val="1"/>
          <c:tx>
            <c:strRef>
              <c:f>Tabelle2!$C$22</c:f>
              <c:strCache>
                <c:ptCount val="1"/>
                <c:pt idx="0">
                  <c:v>En partie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Tabelle2!$A$23:$A$34</c:f>
              <c:strCache>
                <c:ptCount val="12"/>
                <c:pt idx="0">
                  <c:v>Mise à jour des connaissances du marché</c:v>
                </c:pt>
                <c:pt idx="1">
                  <c:v>Orientation sur le marché actuel</c:v>
                </c:pt>
                <c:pt idx="2">
                  <c:v>Vérification de la compétitivité</c:v>
                </c:pt>
                <c:pt idx="3">
                  <c:v>Entretien des relations commerciales existantes</c:v>
                </c:pt>
                <c:pt idx="4">
                  <c:v>Développement des contacts commerciaux</c:v>
                </c:pt>
                <c:pt idx="5">
                  <c:v>Accroissement de la notoriété de l’entreprise</c:v>
                </c:pt>
                <c:pt idx="6">
                  <c:v>Accroissement de la notoriété des produits</c:v>
                </c:pt>
                <c:pt idx="7">
                  <c:v>Maintien et entretien du réseau de distribution</c:v>
                </c:pt>
                <c:pt idx="8">
                  <c:v>Développement du réseau de distribution</c:v>
                </c:pt>
                <c:pt idx="9">
                  <c:v>Augmentation de la part de marché</c:v>
                </c:pt>
                <c:pt idx="10">
                  <c:v>Estimer l’acceptation des produits sur le marché</c:v>
                </c:pt>
                <c:pt idx="11">
                  <c:v>Lancement de produits innovants  </c:v>
                </c:pt>
              </c:strCache>
            </c:strRef>
          </c:cat>
          <c:val>
            <c:numRef>
              <c:f>Tabelle2!$C$23:$C$34</c:f>
              <c:numCache>
                <c:formatCode>0.0%</c:formatCode>
                <c:ptCount val="12"/>
                <c:pt idx="0">
                  <c:v>0.5</c:v>
                </c:pt>
                <c:pt idx="1">
                  <c:v>0.75</c:v>
                </c:pt>
                <c:pt idx="2">
                  <c:v>0.66666666666666663</c:v>
                </c:pt>
                <c:pt idx="3">
                  <c:v>0.35294117647058826</c:v>
                </c:pt>
                <c:pt idx="4">
                  <c:v>0.52631578947368418</c:v>
                </c:pt>
                <c:pt idx="5">
                  <c:v>0.66666666666666663</c:v>
                </c:pt>
                <c:pt idx="6">
                  <c:v>0.66666666666666663</c:v>
                </c:pt>
                <c:pt idx="7">
                  <c:v>0.625</c:v>
                </c:pt>
                <c:pt idx="8">
                  <c:v>0.72727272727272729</c:v>
                </c:pt>
                <c:pt idx="9">
                  <c:v>0.77777777777777779</c:v>
                </c:pt>
                <c:pt idx="10">
                  <c:v>0.76923076923076927</c:v>
                </c:pt>
                <c:pt idx="11">
                  <c:v>0.76923076923076927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64360448"/>
        <c:axId val="64361984"/>
      </c:barChart>
      <c:catAx>
        <c:axId val="64360448"/>
        <c:scaling>
          <c:orientation val="minMax"/>
        </c:scaling>
        <c:delete val="0"/>
        <c:axPos val="l"/>
        <c:majorTickMark val="none"/>
        <c:minorTickMark val="none"/>
        <c:tickLblPos val="nextTo"/>
        <c:crossAx val="64361984"/>
        <c:crosses val="autoZero"/>
        <c:auto val="1"/>
        <c:lblAlgn val="ctr"/>
        <c:lblOffset val="100"/>
        <c:noMultiLvlLbl val="0"/>
      </c:catAx>
      <c:valAx>
        <c:axId val="6436198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64360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13"/>
          <c:dLbls>
            <c:dLbl>
              <c:idx val="1"/>
              <c:layout>
                <c:manualLayout>
                  <c:x val="-4.5425282240640068E-2"/>
                  <c:y val="-0.173851463564211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Tabelle4!$C$8:$D$8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Tabelle4!$C$9:$D$9</c:f>
              <c:numCache>
                <c:formatCode>0%</c:formatCode>
                <c:ptCount val="2"/>
                <c:pt idx="0">
                  <c:v>0.74</c:v>
                </c:pt>
                <c:pt idx="1">
                  <c:v>0.26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211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Tabelle1!$A$10:$A$16</c:f>
              <c:strCache>
                <c:ptCount val="7"/>
                <c:pt idx="0">
                  <c:v>Le nombre de visiteurs</c:v>
                </c:pt>
                <c:pt idx="1">
                  <c:v>Le nombre de visiteurs au stand</c:v>
                </c:pt>
                <c:pt idx="2">
                  <c:v>La qualité des entretiens avec les visiteurs</c:v>
                </c:pt>
                <c:pt idx="3">
                  <c:v>Les rapports commerciaux initiés</c:v>
                </c:pt>
                <c:pt idx="4">
                  <c:v>Les perspectives d’affaires après le salon</c:v>
                </c:pt>
                <c:pt idx="5">
                  <c:v>Avec la présence du salon dans les médias algériens</c:v>
                </c:pt>
                <c:pt idx="6">
                  <c:v>Avec le salon dans l’ensemble</c:v>
                </c:pt>
              </c:strCache>
            </c:strRef>
          </c:cat>
          <c:val>
            <c:numRef>
              <c:f>Tabelle1!$B$10:$B$16</c:f>
              <c:numCache>
                <c:formatCode>0%</c:formatCode>
                <c:ptCount val="7"/>
                <c:pt idx="0">
                  <c:v>0.65384615384615385</c:v>
                </c:pt>
                <c:pt idx="1">
                  <c:v>0.57692307692307687</c:v>
                </c:pt>
                <c:pt idx="2">
                  <c:v>0.76923076923076916</c:v>
                </c:pt>
                <c:pt idx="3">
                  <c:v>0.73076923076923073</c:v>
                </c:pt>
                <c:pt idx="4">
                  <c:v>0.73076923076923073</c:v>
                </c:pt>
                <c:pt idx="5">
                  <c:v>0.65384615384615385</c:v>
                </c:pt>
                <c:pt idx="6">
                  <c:v>0.69230769230769229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4403712"/>
        <c:axId val="80745600"/>
      </c:barChart>
      <c:catAx>
        <c:axId val="6440371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80745600"/>
        <c:crosses val="autoZero"/>
        <c:auto val="1"/>
        <c:lblAlgn val="ctr"/>
        <c:lblOffset val="100"/>
        <c:noMultiLvlLbl val="0"/>
      </c:catAx>
      <c:valAx>
        <c:axId val="8074560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64403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itchFamily="34" charset="0"/>
          <a:ea typeface="Verdana" pitchFamily="34" charset="0"/>
          <a:cs typeface="Arial" pitchFamily="34" charset="0"/>
        </a:defRPr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0.2111111111111112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333333333333332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Tabelle5!$A$18:$A$19</c:f>
              <c:strCache>
                <c:ptCount val="2"/>
                <c:pt idx="0">
                  <c:v>Avec les informations donnés par les organisateurs, les exposants sont</c:v>
                </c:pt>
                <c:pt idx="1">
                  <c:v>Avec les services des organisateurs, les exposants sont</c:v>
                </c:pt>
              </c:strCache>
            </c:strRef>
          </c:cat>
          <c:val>
            <c:numRef>
              <c:f>Tabelle5!$B$18:$B$19</c:f>
              <c:numCache>
                <c:formatCode>0%</c:formatCode>
                <c:ptCount val="2"/>
                <c:pt idx="0">
                  <c:v>0.88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0764288"/>
        <c:axId val="80775424"/>
      </c:barChart>
      <c:catAx>
        <c:axId val="80764288"/>
        <c:scaling>
          <c:orientation val="minMax"/>
        </c:scaling>
        <c:delete val="0"/>
        <c:axPos val="l"/>
        <c:majorTickMark val="none"/>
        <c:minorTickMark val="none"/>
        <c:tickLblPos val="nextTo"/>
        <c:crossAx val="80775424"/>
        <c:crosses val="autoZero"/>
        <c:auto val="1"/>
        <c:lblAlgn val="ctr"/>
        <c:lblOffset val="100"/>
        <c:noMultiLvlLbl val="0"/>
      </c:catAx>
      <c:valAx>
        <c:axId val="80775424"/>
        <c:scaling>
          <c:orientation val="minMax"/>
          <c:min val="0"/>
        </c:scaling>
        <c:delete val="1"/>
        <c:axPos val="b"/>
        <c:numFmt formatCode="0%" sourceLinked="1"/>
        <c:majorTickMark val="none"/>
        <c:minorTickMark val="none"/>
        <c:tickLblPos val="nextTo"/>
        <c:crossAx val="807642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itchFamily="34" charset="0"/>
          <a:ea typeface="Verdana" pitchFamily="34" charset="0"/>
          <a:cs typeface="Arial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6BE8-1829-4049-8BA3-AB20933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Rzepka</dc:creator>
  <cp:lastModifiedBy>Dominik Rzepka</cp:lastModifiedBy>
  <cp:revision>5</cp:revision>
  <cp:lastPrinted>2012-06-19T07:04:00Z</cp:lastPrinted>
  <dcterms:created xsi:type="dcterms:W3CDTF">2012-06-25T08:42:00Z</dcterms:created>
  <dcterms:modified xsi:type="dcterms:W3CDTF">2012-06-26T09:03:00Z</dcterms:modified>
</cp:coreProperties>
</file>