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E9" w:rsidRPr="00560841" w:rsidRDefault="00D34D29" w:rsidP="00883607">
      <w:pPr>
        <w:tabs>
          <w:tab w:val="left" w:pos="1335"/>
          <w:tab w:val="left" w:pos="5940"/>
        </w:tabs>
        <w:spacing w:line="276" w:lineRule="auto"/>
        <w:jc w:val="both"/>
        <w:rPr>
          <w:rFonts w:ascii="Arial" w:hAnsi="Arial" w:cs="Arial"/>
          <w:b/>
          <w:color w:val="000000"/>
          <w:sz w:val="32"/>
          <w:lang w:val="fr-FR"/>
        </w:rPr>
      </w:pPr>
      <w:r w:rsidRPr="00560841">
        <w:rPr>
          <w:rFonts w:ascii="Arial" w:hAnsi="Arial" w:cs="Arial"/>
          <w:b/>
          <w:color w:val="000000"/>
          <w:sz w:val="32"/>
          <w:lang w:val="fr-FR"/>
        </w:rPr>
        <w:t>Bilan</w:t>
      </w:r>
      <w:r w:rsidR="00863AE9" w:rsidRPr="00560841">
        <w:rPr>
          <w:rFonts w:ascii="Arial" w:hAnsi="Arial" w:cs="Arial"/>
          <w:b/>
          <w:color w:val="000000"/>
          <w:sz w:val="32"/>
          <w:lang w:val="fr-FR"/>
        </w:rPr>
        <w:t xml:space="preserve"> 2012</w:t>
      </w:r>
    </w:p>
    <w:p w:rsidR="00863AE9" w:rsidRPr="00560841" w:rsidRDefault="00863AE9" w:rsidP="00883607">
      <w:pPr>
        <w:tabs>
          <w:tab w:val="left" w:pos="1335"/>
          <w:tab w:val="left" w:pos="5940"/>
        </w:tabs>
        <w:spacing w:line="276" w:lineRule="auto"/>
        <w:jc w:val="both"/>
        <w:rPr>
          <w:rFonts w:ascii="Arial" w:hAnsi="Arial" w:cs="Arial"/>
          <w:b/>
          <w:color w:val="000000"/>
          <w:lang w:val="fr-FR"/>
        </w:rPr>
      </w:pPr>
    </w:p>
    <w:p w:rsidR="000555AF" w:rsidRDefault="00186451" w:rsidP="00BC1C2D">
      <w:pPr>
        <w:tabs>
          <w:tab w:val="left" w:pos="1335"/>
          <w:tab w:val="left" w:pos="5940"/>
        </w:tabs>
        <w:spacing w:line="276" w:lineRule="auto"/>
        <w:jc w:val="both"/>
        <w:rPr>
          <w:rFonts w:ascii="Arial" w:hAnsi="Arial" w:cs="Arial"/>
          <w:b/>
          <w:color w:val="000000"/>
          <w:lang w:val="fr-FR"/>
        </w:rPr>
      </w:pPr>
      <w:proofErr w:type="gramStart"/>
      <w:r w:rsidRPr="00186451">
        <w:rPr>
          <w:rFonts w:ascii="Arial" w:hAnsi="Arial" w:cs="Arial"/>
          <w:b/>
          <w:color w:val="000000"/>
          <w:lang w:val="fr-FR"/>
        </w:rPr>
        <w:t>elec</w:t>
      </w:r>
      <w:proofErr w:type="gramEnd"/>
      <w:r w:rsidRPr="00186451">
        <w:rPr>
          <w:rFonts w:ascii="Arial" w:hAnsi="Arial" w:cs="Arial"/>
          <w:b/>
          <w:color w:val="000000"/>
          <w:lang w:val="fr-FR"/>
        </w:rPr>
        <w:t xml:space="preserve"> expo, EneR Event &amp; Tr</w:t>
      </w:r>
      <w:r w:rsidR="002947D4">
        <w:rPr>
          <w:rFonts w:ascii="Arial" w:hAnsi="Arial" w:cs="Arial"/>
          <w:b/>
          <w:color w:val="000000"/>
          <w:lang w:val="fr-FR"/>
        </w:rPr>
        <w:t xml:space="preserve">onica Expo ont étaient honorés </w:t>
      </w:r>
      <w:r w:rsidRPr="00186451">
        <w:rPr>
          <w:rFonts w:ascii="Arial" w:hAnsi="Arial" w:cs="Arial"/>
          <w:b/>
          <w:color w:val="000000"/>
          <w:lang w:val="fr-FR"/>
        </w:rPr>
        <w:t>par le Haut Patronage d</w:t>
      </w:r>
      <w:r w:rsidR="002947D4">
        <w:rPr>
          <w:rFonts w:ascii="Arial" w:hAnsi="Arial" w:cs="Arial"/>
          <w:b/>
          <w:color w:val="000000"/>
          <w:lang w:val="fr-FR"/>
        </w:rPr>
        <w:t>e Sa Majesté le Roi Mohammed VI</w:t>
      </w:r>
    </w:p>
    <w:p w:rsidR="00EA77A9" w:rsidRPr="00186451" w:rsidRDefault="00EA77A9" w:rsidP="00BC1C2D">
      <w:pPr>
        <w:tabs>
          <w:tab w:val="left" w:pos="1335"/>
          <w:tab w:val="left" w:pos="5940"/>
        </w:tabs>
        <w:spacing w:line="276" w:lineRule="auto"/>
        <w:jc w:val="both"/>
        <w:rPr>
          <w:rFonts w:ascii="Arial" w:hAnsi="Arial" w:cs="Arial"/>
          <w:color w:val="000000"/>
          <w:sz w:val="18"/>
          <w:szCs w:val="18"/>
          <w:lang w:val="fr-FR"/>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812"/>
        <w:gridCol w:w="3969"/>
      </w:tblGrid>
      <w:tr w:rsidR="009512E0" w:rsidRPr="00340BD9" w:rsidTr="00D34D29">
        <w:trPr>
          <w:trHeight w:val="87"/>
        </w:trPr>
        <w:tc>
          <w:tcPr>
            <w:tcW w:w="4541" w:type="dxa"/>
          </w:tcPr>
          <w:p w:rsidR="00560841" w:rsidRDefault="00560841" w:rsidP="00560841">
            <w:pPr>
              <w:spacing w:before="100" w:beforeAutospacing="1" w:after="100" w:afterAutospacing="1"/>
              <w:jc w:val="both"/>
              <w:rPr>
                <w:rFonts w:ascii="Arial" w:eastAsia="Calibri" w:hAnsi="Arial" w:cs="Arial"/>
                <w:sz w:val="20"/>
                <w:szCs w:val="20"/>
                <w:lang w:val="fr-FR"/>
              </w:rPr>
            </w:pPr>
            <w:r w:rsidRPr="00560841">
              <w:rPr>
                <w:rFonts w:ascii="Arial" w:eastAsia="Calibri" w:hAnsi="Arial" w:cs="Arial"/>
                <w:sz w:val="20"/>
                <w:szCs w:val="20"/>
                <w:lang w:val="fr-FR"/>
              </w:rPr>
              <w:t xml:space="preserve">Organisée sous le haut patronage de sa Majesté le Roi Mohammed VI, l’édition 2012 des salons elec expo, EneR Event &amp; Tronica Expo 2012 a enregistré un franc succès auprès des exposants et visiteurs. </w:t>
            </w:r>
          </w:p>
          <w:p w:rsidR="00560841" w:rsidRPr="00560841" w:rsidRDefault="00560841" w:rsidP="00560841">
            <w:pPr>
              <w:spacing w:before="100" w:beforeAutospacing="1" w:after="100" w:afterAutospacing="1"/>
              <w:jc w:val="both"/>
              <w:rPr>
                <w:rFonts w:ascii="Arial" w:eastAsia="Calibri" w:hAnsi="Arial" w:cs="Arial"/>
                <w:sz w:val="20"/>
                <w:szCs w:val="20"/>
                <w:lang w:val="fr-FR"/>
              </w:rPr>
            </w:pPr>
            <w:r w:rsidRPr="00560841">
              <w:rPr>
                <w:rFonts w:ascii="Arial" w:eastAsia="Calibri" w:hAnsi="Arial" w:cs="Arial"/>
                <w:sz w:val="20"/>
                <w:szCs w:val="20"/>
                <w:lang w:val="fr-FR"/>
              </w:rPr>
              <w:t xml:space="preserve">En effet, pendant 4 jours de rencontres professionnelles et de débats, l’événement a rassemblé </w:t>
            </w:r>
            <w:r w:rsidRPr="00560841">
              <w:rPr>
                <w:rFonts w:ascii="Arial" w:eastAsia="Calibri" w:hAnsi="Arial" w:cs="Arial"/>
                <w:b/>
                <w:bCs/>
                <w:sz w:val="20"/>
                <w:szCs w:val="20"/>
                <w:lang w:val="fr-FR"/>
              </w:rPr>
              <w:t>3 312 visiteurs professionnels de 42 pays</w:t>
            </w:r>
            <w:r w:rsidRPr="00560841">
              <w:rPr>
                <w:rFonts w:ascii="Arial" w:eastAsia="Calibri" w:hAnsi="Arial" w:cs="Arial"/>
                <w:sz w:val="20"/>
                <w:szCs w:val="20"/>
                <w:lang w:val="fr-FR"/>
              </w:rPr>
              <w:t xml:space="preserve"> avec </w:t>
            </w:r>
            <w:r w:rsidRPr="00560841">
              <w:rPr>
                <w:rFonts w:ascii="Arial" w:eastAsia="Calibri" w:hAnsi="Arial" w:cs="Arial"/>
                <w:b/>
                <w:bCs/>
                <w:sz w:val="20"/>
                <w:szCs w:val="20"/>
                <w:lang w:val="fr-FR"/>
              </w:rPr>
              <w:t>138 exposants de 9 pays</w:t>
            </w:r>
            <w:r w:rsidRPr="00560841">
              <w:rPr>
                <w:rFonts w:ascii="Arial" w:eastAsia="Calibri" w:hAnsi="Arial" w:cs="Arial"/>
                <w:sz w:val="20"/>
                <w:szCs w:val="20"/>
                <w:lang w:val="fr-FR"/>
              </w:rPr>
              <w:t xml:space="preserve">. Les exposants ont exprimé leur satisfaction quant aux résultats de leur participation et fait l'éloge d'un </w:t>
            </w:r>
            <w:proofErr w:type="spellStart"/>
            <w:r w:rsidRPr="00560841">
              <w:rPr>
                <w:rFonts w:ascii="Arial" w:eastAsia="Calibri" w:hAnsi="Arial" w:cs="Arial"/>
                <w:b/>
                <w:bCs/>
                <w:sz w:val="20"/>
                <w:szCs w:val="20"/>
                <w:lang w:val="fr-FR"/>
              </w:rPr>
              <w:t>visitorat</w:t>
            </w:r>
            <w:proofErr w:type="spellEnd"/>
            <w:r w:rsidRPr="00560841">
              <w:rPr>
                <w:rFonts w:ascii="Arial" w:eastAsia="Calibri" w:hAnsi="Arial" w:cs="Arial"/>
                <w:b/>
                <w:bCs/>
                <w:sz w:val="20"/>
                <w:szCs w:val="20"/>
                <w:lang w:val="fr-FR"/>
              </w:rPr>
              <w:t xml:space="preserve"> professionnel de grande qualité</w:t>
            </w:r>
            <w:r w:rsidRPr="00560841">
              <w:rPr>
                <w:rFonts w:ascii="Arial" w:eastAsia="Calibri" w:hAnsi="Arial" w:cs="Arial"/>
                <w:sz w:val="20"/>
                <w:szCs w:val="20"/>
                <w:lang w:val="fr-FR"/>
              </w:rPr>
              <w:t>.</w:t>
            </w:r>
          </w:p>
          <w:p w:rsidR="00560841" w:rsidRPr="00560841" w:rsidRDefault="00560841" w:rsidP="00560841">
            <w:pPr>
              <w:spacing w:before="100" w:beforeAutospacing="1" w:after="100" w:afterAutospacing="1"/>
              <w:jc w:val="both"/>
              <w:rPr>
                <w:rFonts w:ascii="Arial" w:eastAsia="Calibri" w:hAnsi="Arial" w:cs="Arial"/>
                <w:sz w:val="20"/>
                <w:szCs w:val="20"/>
                <w:lang w:val="fr-FR"/>
              </w:rPr>
            </w:pPr>
            <w:r w:rsidRPr="00560841">
              <w:rPr>
                <w:rFonts w:ascii="Arial" w:eastAsia="Calibri" w:hAnsi="Arial" w:cs="Arial"/>
                <w:sz w:val="20"/>
                <w:szCs w:val="20"/>
                <w:lang w:val="fr-FR"/>
              </w:rPr>
              <w:t xml:space="preserve">elec expo, EneR Event &amp; Tronica Expo 2012 ont pu remplir leur mission de </w:t>
            </w:r>
            <w:r w:rsidRPr="00560841">
              <w:rPr>
                <w:rFonts w:ascii="Arial" w:eastAsia="Calibri" w:hAnsi="Arial" w:cs="Arial"/>
                <w:b/>
                <w:bCs/>
                <w:sz w:val="20"/>
                <w:szCs w:val="20"/>
                <w:lang w:val="fr-FR"/>
              </w:rPr>
              <w:t>hub régional confirmé</w:t>
            </w:r>
            <w:r w:rsidRPr="00560841">
              <w:rPr>
                <w:rFonts w:ascii="Arial" w:eastAsia="Calibri" w:hAnsi="Arial" w:cs="Arial"/>
                <w:sz w:val="20"/>
                <w:szCs w:val="20"/>
                <w:lang w:val="fr-FR"/>
              </w:rPr>
              <w:t xml:space="preserve"> et « de plate-forme internationale d’exposition des innovations scientifiques et techniques dans les secteurs électrique, électronique et celui des énergies renouvelables » comme l’a souligné Mr Tagmouti, Président de la FENELEC.</w:t>
            </w:r>
          </w:p>
          <w:p w:rsidR="00560841" w:rsidRDefault="00560841" w:rsidP="00560841">
            <w:pPr>
              <w:jc w:val="both"/>
              <w:rPr>
                <w:rFonts w:ascii="Arial" w:eastAsia="Calibri" w:hAnsi="Arial" w:cs="Arial"/>
                <w:color w:val="000000"/>
                <w:sz w:val="20"/>
                <w:szCs w:val="20"/>
                <w:lang w:val="fr-FR" w:eastAsia="fr-FR"/>
              </w:rPr>
            </w:pPr>
            <w:r w:rsidRPr="00560841">
              <w:rPr>
                <w:rFonts w:ascii="Arial" w:eastAsia="Calibri" w:hAnsi="Arial" w:cs="Arial"/>
                <w:color w:val="000000"/>
                <w:sz w:val="20"/>
                <w:szCs w:val="20"/>
                <w:lang w:val="fr-FR" w:eastAsia="fr-FR"/>
              </w:rPr>
              <w:t xml:space="preserve">Les salons ont connu également un </w:t>
            </w:r>
            <w:r w:rsidRPr="00560841">
              <w:rPr>
                <w:rFonts w:ascii="Arial" w:eastAsia="Calibri" w:hAnsi="Arial" w:cs="Arial"/>
                <w:b/>
                <w:bCs/>
                <w:color w:val="000000"/>
                <w:sz w:val="20"/>
                <w:szCs w:val="20"/>
                <w:lang w:val="fr-FR" w:eastAsia="fr-FR"/>
              </w:rPr>
              <w:t xml:space="preserve">important soutien institutionnel </w:t>
            </w:r>
            <w:r w:rsidRPr="00560841">
              <w:rPr>
                <w:rFonts w:ascii="Arial" w:eastAsia="Calibri" w:hAnsi="Arial" w:cs="Arial"/>
                <w:color w:val="000000"/>
                <w:sz w:val="20"/>
                <w:szCs w:val="20"/>
                <w:lang w:val="fr-FR" w:eastAsia="fr-FR"/>
              </w:rPr>
              <w:t xml:space="preserve">avec l’égide du Ministère de l’Energie, des Mines, de l’Eau et de l’Environnement, du Ministère de l’Industrie, du Commerce et des Nouvelles Technologies et du Ministère du Commerce Extérieur. </w:t>
            </w:r>
          </w:p>
          <w:p w:rsidR="00560841" w:rsidRDefault="00560841" w:rsidP="00560841">
            <w:pPr>
              <w:jc w:val="both"/>
              <w:rPr>
                <w:rFonts w:ascii="Arial" w:eastAsia="Calibri" w:hAnsi="Arial" w:cs="Arial"/>
                <w:color w:val="000000"/>
                <w:sz w:val="20"/>
                <w:szCs w:val="20"/>
                <w:lang w:val="fr-FR" w:eastAsia="fr-FR"/>
              </w:rPr>
            </w:pPr>
          </w:p>
          <w:p w:rsidR="00560841" w:rsidRPr="00560841" w:rsidRDefault="00560841" w:rsidP="00560841">
            <w:pPr>
              <w:jc w:val="both"/>
              <w:rPr>
                <w:rFonts w:ascii="Arial" w:eastAsia="Calibri" w:hAnsi="Arial" w:cs="Arial"/>
                <w:color w:val="000000"/>
                <w:sz w:val="20"/>
                <w:szCs w:val="20"/>
                <w:lang w:val="fr-FR" w:eastAsia="fr-FR"/>
              </w:rPr>
            </w:pPr>
            <w:r w:rsidRPr="00560841">
              <w:rPr>
                <w:rFonts w:ascii="Arial" w:eastAsia="Calibri" w:hAnsi="Arial" w:cs="Arial"/>
                <w:color w:val="000000"/>
                <w:sz w:val="20"/>
                <w:szCs w:val="20"/>
                <w:lang w:val="fr-FR" w:eastAsia="fr-FR"/>
              </w:rPr>
              <w:t xml:space="preserve">Grace à leur </w:t>
            </w:r>
            <w:r w:rsidRPr="00560841">
              <w:rPr>
                <w:rFonts w:ascii="Arial" w:eastAsia="Calibri" w:hAnsi="Arial" w:cs="Arial"/>
                <w:b/>
                <w:bCs/>
                <w:color w:val="000000"/>
                <w:sz w:val="20"/>
                <w:szCs w:val="20"/>
                <w:lang w:val="fr-FR" w:eastAsia="fr-FR"/>
              </w:rPr>
              <w:t>dimension africaine</w:t>
            </w:r>
            <w:r w:rsidRPr="00560841">
              <w:rPr>
                <w:rFonts w:ascii="Arial" w:eastAsia="Calibri" w:hAnsi="Arial" w:cs="Arial"/>
                <w:color w:val="000000"/>
                <w:sz w:val="20"/>
                <w:szCs w:val="20"/>
                <w:lang w:val="fr-FR" w:eastAsia="fr-FR"/>
              </w:rPr>
              <w:t xml:space="preserve">, les salons ont profité du soutien exclusif de la Confédération Africaine d’Electricité </w:t>
            </w:r>
            <w:r w:rsidRPr="00560841">
              <w:rPr>
                <w:rFonts w:ascii="Arial" w:eastAsia="Calibri" w:hAnsi="Arial" w:cs="Arial"/>
                <w:b/>
                <w:bCs/>
                <w:color w:val="000000"/>
                <w:sz w:val="20"/>
                <w:szCs w:val="20"/>
                <w:lang w:val="fr-FR" w:eastAsia="fr-FR"/>
              </w:rPr>
              <w:t xml:space="preserve">CAFELEC </w:t>
            </w:r>
            <w:r w:rsidRPr="00560841">
              <w:rPr>
                <w:rFonts w:ascii="Arial" w:eastAsia="Calibri" w:hAnsi="Arial" w:cs="Arial"/>
                <w:color w:val="000000"/>
                <w:sz w:val="20"/>
                <w:szCs w:val="20"/>
                <w:lang w:val="fr-FR" w:eastAsia="fr-FR"/>
              </w:rPr>
              <w:t>et du programme d’accueil, mis en place au profit des principaux donneurs d’ordre africains par le Département du Commerce Extérieur et Maroc Export.</w:t>
            </w:r>
          </w:p>
          <w:p w:rsidR="00560841" w:rsidRPr="00560841" w:rsidRDefault="00560841" w:rsidP="00560841">
            <w:pPr>
              <w:jc w:val="both"/>
              <w:rPr>
                <w:rFonts w:ascii="Arial" w:eastAsia="Calibri" w:hAnsi="Arial" w:cs="Arial"/>
                <w:color w:val="000000"/>
                <w:sz w:val="20"/>
                <w:szCs w:val="20"/>
                <w:lang w:val="fr-FR" w:eastAsia="fr-FR"/>
              </w:rPr>
            </w:pPr>
          </w:p>
          <w:p w:rsidR="000555AF" w:rsidRPr="00EA77A9" w:rsidRDefault="00560841" w:rsidP="00EA77A9">
            <w:pPr>
              <w:jc w:val="both"/>
              <w:rPr>
                <w:rFonts w:ascii="Arial" w:eastAsia="Calibri" w:hAnsi="Arial" w:cs="Arial"/>
                <w:sz w:val="20"/>
                <w:szCs w:val="20"/>
                <w:lang w:val="fr-FR" w:eastAsia="fr-FR"/>
              </w:rPr>
            </w:pPr>
            <w:r w:rsidRPr="00560841">
              <w:rPr>
                <w:rFonts w:ascii="Arial" w:eastAsia="Calibri" w:hAnsi="Arial" w:cs="Arial"/>
                <w:sz w:val="20"/>
                <w:szCs w:val="20"/>
                <w:lang w:val="fr-FR" w:eastAsia="fr-FR"/>
              </w:rPr>
              <w:t xml:space="preserve">L'inauguration s'est déroulée en présence des représentants des 3 ministères, des leaders de la FENELEC et des représentants </w:t>
            </w:r>
            <w:proofErr w:type="gramStart"/>
            <w:r w:rsidRPr="00560841">
              <w:rPr>
                <w:rFonts w:ascii="Arial" w:eastAsia="Calibri" w:hAnsi="Arial" w:cs="Arial"/>
                <w:sz w:val="20"/>
                <w:szCs w:val="20"/>
                <w:lang w:val="fr-FR" w:eastAsia="fr-FR"/>
              </w:rPr>
              <w:t>de UBIFRANCE</w:t>
            </w:r>
            <w:proofErr w:type="gramEnd"/>
            <w:r w:rsidRPr="00560841">
              <w:rPr>
                <w:rFonts w:ascii="Arial" w:eastAsia="Calibri" w:hAnsi="Arial" w:cs="Arial"/>
                <w:sz w:val="20"/>
                <w:szCs w:val="20"/>
                <w:lang w:val="fr-FR" w:eastAsia="fr-FR"/>
              </w:rPr>
              <w:t xml:space="preserve"> ainsi que </w:t>
            </w:r>
            <w:r w:rsidRPr="00560841">
              <w:rPr>
                <w:rFonts w:ascii="Arial" w:eastAsia="Calibri" w:hAnsi="Arial" w:cs="Arial"/>
                <w:b/>
                <w:bCs/>
                <w:sz w:val="20"/>
                <w:szCs w:val="20"/>
                <w:lang w:val="fr-FR" w:eastAsia="fr-FR"/>
              </w:rPr>
              <w:t>52 donneurs d’ordres africains de 13 pays</w:t>
            </w:r>
            <w:r w:rsidRPr="00560841">
              <w:rPr>
                <w:rFonts w:ascii="Arial" w:eastAsia="Calibri" w:hAnsi="Arial" w:cs="Arial"/>
                <w:sz w:val="20"/>
                <w:szCs w:val="20"/>
                <w:lang w:val="fr-FR" w:eastAsia="fr-FR"/>
              </w:rPr>
              <w:t xml:space="preserve">. Avec </w:t>
            </w:r>
            <w:r w:rsidRPr="00560841">
              <w:rPr>
                <w:rFonts w:ascii="Arial" w:eastAsia="Calibri" w:hAnsi="Arial" w:cs="Arial"/>
                <w:b/>
                <w:bCs/>
                <w:sz w:val="20"/>
                <w:szCs w:val="20"/>
                <w:lang w:val="fr-FR" w:eastAsia="fr-FR"/>
              </w:rPr>
              <w:t>la France comme Invitée d’honneur de l’édition en 2012</w:t>
            </w:r>
            <w:r w:rsidRPr="00560841">
              <w:rPr>
                <w:rFonts w:ascii="Arial" w:eastAsia="Calibri" w:hAnsi="Arial" w:cs="Arial"/>
                <w:sz w:val="20"/>
                <w:szCs w:val="20"/>
                <w:lang w:val="fr-FR" w:eastAsia="fr-FR"/>
              </w:rPr>
              <w:t>, Ubifrance en partenariat avec la CFCIM, a organisé le pavillon français, pour la 2ème année consécutive.</w:t>
            </w:r>
          </w:p>
        </w:tc>
        <w:tc>
          <w:tcPr>
            <w:tcW w:w="812" w:type="dxa"/>
          </w:tcPr>
          <w:p w:rsidR="00842A3B" w:rsidRPr="00186451" w:rsidRDefault="00842A3B" w:rsidP="00BC1C2D">
            <w:pPr>
              <w:tabs>
                <w:tab w:val="left" w:pos="1335"/>
                <w:tab w:val="left" w:pos="5940"/>
              </w:tabs>
              <w:spacing w:line="276" w:lineRule="auto"/>
              <w:jc w:val="both"/>
              <w:rPr>
                <w:rFonts w:ascii="Arial" w:hAnsi="Arial" w:cs="Arial"/>
                <w:color w:val="000000"/>
                <w:sz w:val="18"/>
                <w:szCs w:val="18"/>
                <w:lang w:val="fr-FR"/>
              </w:rPr>
            </w:pPr>
          </w:p>
        </w:tc>
        <w:tc>
          <w:tcPr>
            <w:tcW w:w="3969" w:type="dxa"/>
          </w:tcPr>
          <w:p w:rsidR="00EA77A9" w:rsidRDefault="00EA77A9" w:rsidP="00BC1C2D">
            <w:pPr>
              <w:tabs>
                <w:tab w:val="left" w:pos="1335"/>
                <w:tab w:val="left" w:pos="5940"/>
              </w:tabs>
              <w:spacing w:line="276" w:lineRule="auto"/>
              <w:jc w:val="center"/>
              <w:rPr>
                <w:noProof/>
                <w:lang w:val="en-GB" w:eastAsia="en-GB"/>
              </w:rPr>
            </w:pPr>
          </w:p>
          <w:p w:rsidR="00842A3B" w:rsidRDefault="00315BD4" w:rsidP="00BC1C2D">
            <w:pPr>
              <w:tabs>
                <w:tab w:val="left" w:pos="1335"/>
                <w:tab w:val="left" w:pos="5940"/>
              </w:tabs>
              <w:spacing w:line="276" w:lineRule="auto"/>
              <w:jc w:val="center"/>
              <w:rPr>
                <w:rFonts w:ascii="Arial" w:hAnsi="Arial" w:cs="Arial"/>
                <w:color w:val="000000"/>
                <w:sz w:val="18"/>
                <w:szCs w:val="18"/>
                <w:lang w:val="en-US"/>
              </w:rPr>
            </w:pPr>
            <w:r w:rsidRPr="00340BD9">
              <w:rPr>
                <w:noProof/>
                <w:lang w:val="en-GB" w:eastAsia="en-GB"/>
              </w:rPr>
              <w:drawing>
                <wp:inline distT="0" distB="0" distL="0" distR="0" wp14:anchorId="4B0F8F3F" wp14:editId="2EF7516F">
                  <wp:extent cx="2340000" cy="1560000"/>
                  <wp:effectExtent l="0" t="0" r="3175"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1560000"/>
                          </a:xfrm>
                          <a:prstGeom prst="rect">
                            <a:avLst/>
                          </a:prstGeom>
                        </pic:spPr>
                      </pic:pic>
                    </a:graphicData>
                  </a:graphic>
                </wp:inline>
              </w:drawing>
            </w:r>
          </w:p>
          <w:p w:rsidR="000555AF" w:rsidRDefault="000555AF" w:rsidP="00BC1C2D">
            <w:pPr>
              <w:tabs>
                <w:tab w:val="left" w:pos="1335"/>
                <w:tab w:val="left" w:pos="5940"/>
              </w:tabs>
              <w:spacing w:line="276" w:lineRule="auto"/>
              <w:jc w:val="center"/>
              <w:rPr>
                <w:rFonts w:ascii="Arial" w:hAnsi="Arial" w:cs="Arial"/>
                <w:color w:val="000000"/>
                <w:sz w:val="18"/>
                <w:szCs w:val="18"/>
                <w:lang w:val="en-US"/>
              </w:rPr>
            </w:pPr>
          </w:p>
          <w:p w:rsidR="00C95D2B" w:rsidRDefault="000555AF" w:rsidP="00FE50B2">
            <w:pPr>
              <w:tabs>
                <w:tab w:val="left" w:pos="1335"/>
                <w:tab w:val="left" w:pos="5940"/>
              </w:tabs>
              <w:spacing w:line="276" w:lineRule="auto"/>
              <w:jc w:val="center"/>
              <w:rPr>
                <w:rFonts w:ascii="Arial" w:hAnsi="Arial" w:cs="Arial"/>
                <w:sz w:val="18"/>
                <w:szCs w:val="18"/>
                <w:lang w:val="en-US"/>
              </w:rPr>
            </w:pPr>
            <w:r>
              <w:rPr>
                <w:noProof/>
                <w:lang w:val="en-GB" w:eastAsia="en-GB"/>
              </w:rPr>
              <w:drawing>
                <wp:inline distT="0" distB="0" distL="0" distR="0" wp14:anchorId="60FBD83A" wp14:editId="38A31F28">
                  <wp:extent cx="2340000" cy="1559999"/>
                  <wp:effectExtent l="0" t="0" r="317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10 18 eET12 Day2  (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1559999"/>
                          </a:xfrm>
                          <a:prstGeom prst="rect">
                            <a:avLst/>
                          </a:prstGeom>
                        </pic:spPr>
                      </pic:pic>
                    </a:graphicData>
                  </a:graphic>
                </wp:inline>
              </w:drawing>
            </w:r>
          </w:p>
          <w:p w:rsidR="000555AF" w:rsidRDefault="000555AF" w:rsidP="00FE50B2">
            <w:pPr>
              <w:tabs>
                <w:tab w:val="left" w:pos="1335"/>
                <w:tab w:val="left" w:pos="5940"/>
              </w:tabs>
              <w:spacing w:line="276" w:lineRule="auto"/>
              <w:jc w:val="center"/>
              <w:rPr>
                <w:rFonts w:ascii="Arial" w:hAnsi="Arial" w:cs="Arial"/>
                <w:sz w:val="18"/>
                <w:szCs w:val="18"/>
                <w:lang w:val="en-US"/>
              </w:rPr>
            </w:pPr>
          </w:p>
          <w:p w:rsidR="00B86DC8" w:rsidRDefault="00616FD4" w:rsidP="00BC1C2D">
            <w:pPr>
              <w:tabs>
                <w:tab w:val="left" w:pos="459"/>
                <w:tab w:val="left" w:pos="5940"/>
              </w:tabs>
              <w:spacing w:line="276" w:lineRule="auto"/>
              <w:ind w:right="-453"/>
              <w:rPr>
                <w:rFonts w:ascii="Arial" w:hAnsi="Arial" w:cs="Arial"/>
                <w:sz w:val="18"/>
                <w:szCs w:val="18"/>
                <w:lang w:val="en-US"/>
              </w:rPr>
            </w:pPr>
            <w:r>
              <w:rPr>
                <w:rFonts w:ascii="Arial" w:hAnsi="Arial" w:cs="Arial"/>
                <w:noProof/>
                <w:sz w:val="18"/>
                <w:szCs w:val="18"/>
                <w:lang w:val="en-GB" w:eastAsia="en-GB"/>
              </w:rPr>
              <w:drawing>
                <wp:inline distT="0" distB="0" distL="0" distR="0" wp14:anchorId="64EF258F" wp14:editId="4580CB98">
                  <wp:extent cx="2340000" cy="1559999"/>
                  <wp:effectExtent l="0" t="0" r="317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10 17 eET12 Ross Deverson (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1559999"/>
                          </a:xfrm>
                          <a:prstGeom prst="rect">
                            <a:avLst/>
                          </a:prstGeom>
                        </pic:spPr>
                      </pic:pic>
                    </a:graphicData>
                  </a:graphic>
                </wp:inline>
              </w:drawing>
            </w:r>
          </w:p>
          <w:p w:rsidR="0074599D" w:rsidRDefault="0074599D" w:rsidP="00BC1C2D">
            <w:pPr>
              <w:tabs>
                <w:tab w:val="left" w:pos="459"/>
                <w:tab w:val="left" w:pos="5940"/>
              </w:tabs>
              <w:spacing w:line="276" w:lineRule="auto"/>
              <w:ind w:right="-453"/>
              <w:rPr>
                <w:rFonts w:ascii="Arial" w:hAnsi="Arial" w:cs="Arial"/>
                <w:sz w:val="18"/>
                <w:szCs w:val="18"/>
                <w:lang w:val="en-US"/>
              </w:rPr>
            </w:pPr>
          </w:p>
          <w:p w:rsidR="0074599D" w:rsidRDefault="0074599D" w:rsidP="00BC1C2D">
            <w:pPr>
              <w:tabs>
                <w:tab w:val="left" w:pos="459"/>
                <w:tab w:val="left" w:pos="5940"/>
              </w:tabs>
              <w:spacing w:line="276" w:lineRule="auto"/>
              <w:ind w:right="-453"/>
              <w:rPr>
                <w:rFonts w:ascii="Arial" w:hAnsi="Arial" w:cs="Arial"/>
                <w:sz w:val="18"/>
                <w:szCs w:val="18"/>
                <w:lang w:val="en-US"/>
              </w:rPr>
            </w:pPr>
            <w:r>
              <w:rPr>
                <w:rFonts w:ascii="Arial" w:hAnsi="Arial" w:cs="Arial"/>
                <w:noProof/>
                <w:sz w:val="18"/>
                <w:szCs w:val="18"/>
                <w:lang w:val="en-GB" w:eastAsia="en-GB"/>
              </w:rPr>
              <w:drawing>
                <wp:inline distT="0" distB="0" distL="0" distR="0" wp14:anchorId="790F6E97" wp14:editId="60129808">
                  <wp:extent cx="2340000" cy="1560000"/>
                  <wp:effectExtent l="0" t="0" r="3175"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10 17 eET12 Ross Deverson (8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1560000"/>
                          </a:xfrm>
                          <a:prstGeom prst="rect">
                            <a:avLst/>
                          </a:prstGeom>
                        </pic:spPr>
                      </pic:pic>
                    </a:graphicData>
                  </a:graphic>
                </wp:inline>
              </w:drawing>
            </w:r>
          </w:p>
          <w:p w:rsidR="0074599D" w:rsidRPr="00340BD9" w:rsidRDefault="0074599D" w:rsidP="00BC1C2D">
            <w:pPr>
              <w:tabs>
                <w:tab w:val="left" w:pos="459"/>
                <w:tab w:val="left" w:pos="5940"/>
              </w:tabs>
              <w:spacing w:line="276" w:lineRule="auto"/>
              <w:ind w:right="-453"/>
              <w:rPr>
                <w:rFonts w:ascii="Arial" w:hAnsi="Arial" w:cs="Arial"/>
                <w:sz w:val="18"/>
                <w:szCs w:val="18"/>
                <w:lang w:val="en-US"/>
              </w:rPr>
            </w:pPr>
          </w:p>
        </w:tc>
      </w:tr>
    </w:tbl>
    <w:p w:rsidR="008F12A3" w:rsidRDefault="006152D2" w:rsidP="00BC1C2D">
      <w:pPr>
        <w:tabs>
          <w:tab w:val="left" w:pos="1335"/>
          <w:tab w:val="left" w:pos="5940"/>
        </w:tabs>
        <w:spacing w:line="276" w:lineRule="auto"/>
        <w:jc w:val="both"/>
        <w:rPr>
          <w:rFonts w:ascii="Arial" w:hAnsi="Arial" w:cs="Arial"/>
          <w:b/>
          <w:color w:val="000000"/>
          <w:lang w:val="en-US"/>
        </w:rPr>
      </w:pPr>
      <w:proofErr w:type="spellStart"/>
      <w:proofErr w:type="gramStart"/>
      <w:r w:rsidRPr="006152D2">
        <w:rPr>
          <w:rFonts w:ascii="Arial" w:hAnsi="Arial" w:cs="Arial"/>
          <w:b/>
          <w:color w:val="000000"/>
          <w:lang w:val="en-US"/>
        </w:rPr>
        <w:lastRenderedPageBreak/>
        <w:t>Témoignages</w:t>
      </w:r>
      <w:proofErr w:type="spellEnd"/>
      <w:r w:rsidRPr="006152D2">
        <w:rPr>
          <w:rFonts w:ascii="Arial" w:hAnsi="Arial" w:cs="Arial"/>
          <w:b/>
          <w:color w:val="000000"/>
          <w:lang w:val="en-US"/>
        </w:rPr>
        <w:t xml:space="preserve"> :</w:t>
      </w:r>
      <w:proofErr w:type="gramEnd"/>
    </w:p>
    <w:p w:rsidR="006152D2" w:rsidRPr="00340BD9" w:rsidRDefault="006152D2" w:rsidP="00BC1C2D">
      <w:pPr>
        <w:tabs>
          <w:tab w:val="left" w:pos="1335"/>
          <w:tab w:val="left" w:pos="5940"/>
        </w:tabs>
        <w:spacing w:line="276" w:lineRule="auto"/>
        <w:jc w:val="both"/>
        <w:rPr>
          <w:rFonts w:ascii="Arial" w:hAnsi="Arial" w:cs="Arial"/>
          <w:b/>
          <w:color w:val="000000"/>
          <w:lang w:val="en-US"/>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938"/>
      </w:tblGrid>
      <w:tr w:rsidR="00EA77A9" w:rsidRPr="00EA77A9" w:rsidTr="00EA77A9">
        <w:trPr>
          <w:trHeight w:val="1925"/>
        </w:trPr>
        <w:tc>
          <w:tcPr>
            <w:tcW w:w="1526" w:type="dxa"/>
          </w:tcPr>
          <w:p w:rsidR="00EA77A9" w:rsidRDefault="00EA77A9" w:rsidP="00BC1C2D">
            <w:pPr>
              <w:tabs>
                <w:tab w:val="left" w:pos="1335"/>
                <w:tab w:val="left" w:pos="5940"/>
              </w:tabs>
              <w:spacing w:line="276" w:lineRule="auto"/>
              <w:ind w:right="2689"/>
              <w:jc w:val="both"/>
              <w:rPr>
                <w:noProof/>
                <w:lang w:val="en-GB" w:eastAsia="en-GB"/>
              </w:rPr>
            </w:pPr>
            <w:r>
              <w:rPr>
                <w:noProof/>
                <w:lang w:val="en-GB" w:eastAsia="en-GB"/>
              </w:rPr>
              <w:drawing>
                <wp:inline distT="0" distB="0" distL="0" distR="0" wp14:anchorId="0818F125" wp14:editId="3FE7D116">
                  <wp:extent cx="901251" cy="1148317"/>
                  <wp:effectExtent l="0" t="0" r="0" b="0"/>
                  <wp:docPr id="3" name="Grafik 3" descr="https://storage18.rapidmail.de/maileditor/969d67b4b240a044515bad87c59a9c8f/1tlvn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18.rapidmail.de/maileditor/969d67b4b240a044515bad87c59a9c8f/1tlvn6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743"/>
                          <a:stretch/>
                        </pic:blipFill>
                        <pic:spPr bwMode="auto">
                          <a:xfrm>
                            <a:off x="0" y="0"/>
                            <a:ext cx="900000" cy="11467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rsidR="00EA77A9" w:rsidRPr="00EA77A9" w:rsidRDefault="00EA77A9" w:rsidP="00EA77A9">
            <w:pPr>
              <w:jc w:val="both"/>
              <w:rPr>
                <w:rFonts w:ascii="Arial" w:hAnsi="Arial" w:cs="Arial"/>
                <w:b/>
                <w:color w:val="000000"/>
                <w:sz w:val="20"/>
                <w:lang w:val="fr-FR"/>
              </w:rPr>
            </w:pPr>
            <w:r w:rsidRPr="00EA77A9">
              <w:rPr>
                <w:rFonts w:ascii="Arial" w:hAnsi="Arial" w:cs="Arial"/>
                <w:b/>
                <w:color w:val="000000"/>
                <w:sz w:val="20"/>
                <w:lang w:val="fr-FR"/>
              </w:rPr>
              <w:t>M. Youssef Tagmouti, Président de la FENELEC :</w:t>
            </w:r>
          </w:p>
          <w:p w:rsidR="00EA77A9" w:rsidRPr="00EA77A9" w:rsidRDefault="00EA77A9" w:rsidP="00EA77A9">
            <w:pPr>
              <w:jc w:val="both"/>
              <w:rPr>
                <w:rFonts w:ascii="Arial" w:hAnsi="Arial" w:cs="Arial"/>
                <w:b/>
                <w:color w:val="000000"/>
                <w:sz w:val="20"/>
                <w:lang w:val="fr-FR"/>
              </w:rPr>
            </w:pPr>
          </w:p>
          <w:p w:rsidR="00EA77A9" w:rsidRPr="009B7E85" w:rsidRDefault="00EA77A9" w:rsidP="00EA77A9">
            <w:pPr>
              <w:jc w:val="both"/>
              <w:rPr>
                <w:rFonts w:ascii="Arial" w:hAnsi="Arial" w:cs="Arial"/>
                <w:b/>
                <w:color w:val="000000"/>
                <w:sz w:val="20"/>
                <w:lang w:val="fr-FR"/>
              </w:rPr>
            </w:pPr>
            <w:r w:rsidRPr="00EA77A9">
              <w:rPr>
                <w:rFonts w:ascii="Arial" w:hAnsi="Arial" w:cs="Arial"/>
                <w:color w:val="000000"/>
                <w:sz w:val="20"/>
                <w:szCs w:val="20"/>
                <w:lang w:val="fr-FR"/>
              </w:rPr>
              <w:t>« Notre plan d'action vise d'une part, à servir d'avantage nos adhérents et les accompagner pour relever les challenges de la conjoncture économique actuelle et d'autre part, à accompagner les grands projets structurants du Royaume ainsi que ses stratégies notamment le plan émergence pour le développement industriel, le plan Maroc Export Plus et le plan de développement des énergies renouvelables et de l'efficacité énergétique. »</w:t>
            </w:r>
          </w:p>
        </w:tc>
      </w:tr>
      <w:tr w:rsidR="00EA77A9" w:rsidRPr="00EA77A9" w:rsidTr="00EA77A9">
        <w:trPr>
          <w:trHeight w:val="437"/>
        </w:trPr>
        <w:tc>
          <w:tcPr>
            <w:tcW w:w="1526" w:type="dxa"/>
          </w:tcPr>
          <w:p w:rsidR="00EA77A9" w:rsidRPr="00EA77A9" w:rsidRDefault="00EA77A9" w:rsidP="00BC1C2D">
            <w:pPr>
              <w:tabs>
                <w:tab w:val="left" w:pos="1335"/>
                <w:tab w:val="left" w:pos="5940"/>
              </w:tabs>
              <w:spacing w:line="276" w:lineRule="auto"/>
              <w:ind w:right="2689"/>
              <w:jc w:val="both"/>
              <w:rPr>
                <w:noProof/>
                <w:lang w:val="fr-FR" w:eastAsia="en-GB"/>
              </w:rPr>
            </w:pPr>
          </w:p>
        </w:tc>
        <w:tc>
          <w:tcPr>
            <w:tcW w:w="7938" w:type="dxa"/>
          </w:tcPr>
          <w:p w:rsidR="00EA77A9" w:rsidRPr="009B7E85" w:rsidRDefault="00EA77A9" w:rsidP="009B7E85">
            <w:pPr>
              <w:jc w:val="both"/>
              <w:rPr>
                <w:rFonts w:ascii="Arial" w:hAnsi="Arial" w:cs="Arial"/>
                <w:b/>
                <w:color w:val="000000"/>
                <w:sz w:val="20"/>
                <w:lang w:val="fr-FR"/>
              </w:rPr>
            </w:pPr>
          </w:p>
        </w:tc>
      </w:tr>
      <w:tr w:rsidR="00E679E6" w:rsidRPr="00EA77A9" w:rsidTr="003848FE">
        <w:trPr>
          <w:trHeight w:val="1117"/>
        </w:trPr>
        <w:tc>
          <w:tcPr>
            <w:tcW w:w="1526" w:type="dxa"/>
          </w:tcPr>
          <w:p w:rsidR="00E679E6" w:rsidRPr="00340BD9" w:rsidRDefault="00FA0E2A" w:rsidP="00BC1C2D">
            <w:pPr>
              <w:tabs>
                <w:tab w:val="left" w:pos="1335"/>
                <w:tab w:val="left" w:pos="5940"/>
              </w:tabs>
              <w:spacing w:line="276" w:lineRule="auto"/>
              <w:ind w:right="2689"/>
              <w:jc w:val="both"/>
              <w:rPr>
                <w:rFonts w:ascii="Arial" w:hAnsi="Arial" w:cs="Arial"/>
                <w:b/>
                <w:color w:val="000000"/>
                <w:lang w:val="en-US"/>
              </w:rPr>
            </w:pPr>
            <w:r>
              <w:rPr>
                <w:noProof/>
                <w:lang w:val="en-GB" w:eastAsia="en-GB"/>
              </w:rPr>
              <w:drawing>
                <wp:inline distT="0" distB="0" distL="0" distR="0" wp14:anchorId="3B4D1F1F" wp14:editId="18AFB1D8">
                  <wp:extent cx="892514" cy="1105786"/>
                  <wp:effectExtent l="0" t="0" r="3175" b="0"/>
                  <wp:docPr id="8" name="Grafik 8" descr="Beschreibung: http://www.elec-expo.com/typo3temp/pics/a35eab83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http://www.elec-expo.com/typo3temp/pics/a35eab83fe.jpg"/>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9565"/>
                          <a:stretch/>
                        </pic:blipFill>
                        <pic:spPr bwMode="auto">
                          <a:xfrm>
                            <a:off x="0" y="0"/>
                            <a:ext cx="900000" cy="11150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rsidR="001364B8" w:rsidRDefault="009B7E85" w:rsidP="009B7E85">
            <w:pPr>
              <w:jc w:val="both"/>
              <w:rPr>
                <w:rFonts w:ascii="Arial" w:hAnsi="Arial" w:cs="Arial"/>
                <w:b/>
                <w:color w:val="000000"/>
                <w:sz w:val="20"/>
                <w:lang w:val="fr-FR"/>
              </w:rPr>
            </w:pPr>
            <w:r w:rsidRPr="009B7E85">
              <w:rPr>
                <w:rFonts w:ascii="Arial" w:hAnsi="Arial" w:cs="Arial"/>
                <w:b/>
                <w:color w:val="000000"/>
                <w:sz w:val="20"/>
                <w:lang w:val="fr-FR"/>
              </w:rPr>
              <w:t xml:space="preserve">M. El </w:t>
            </w:r>
            <w:proofErr w:type="spellStart"/>
            <w:r w:rsidRPr="009B7E85">
              <w:rPr>
                <w:rFonts w:ascii="Arial" w:hAnsi="Arial" w:cs="Arial"/>
                <w:b/>
                <w:color w:val="000000"/>
                <w:sz w:val="20"/>
                <w:lang w:val="fr-FR"/>
              </w:rPr>
              <w:t>Aid</w:t>
            </w:r>
            <w:proofErr w:type="spellEnd"/>
            <w:r w:rsidRPr="009B7E85">
              <w:rPr>
                <w:rFonts w:ascii="Arial" w:hAnsi="Arial" w:cs="Arial"/>
                <w:b/>
                <w:color w:val="000000"/>
                <w:sz w:val="20"/>
                <w:lang w:val="fr-FR"/>
              </w:rPr>
              <w:t xml:space="preserve"> </w:t>
            </w:r>
            <w:proofErr w:type="spellStart"/>
            <w:r w:rsidRPr="009B7E85">
              <w:rPr>
                <w:rFonts w:ascii="Arial" w:hAnsi="Arial" w:cs="Arial"/>
                <w:b/>
                <w:color w:val="000000"/>
                <w:sz w:val="20"/>
                <w:lang w:val="fr-FR"/>
              </w:rPr>
              <w:t>Mahsoussi</w:t>
            </w:r>
            <w:proofErr w:type="spellEnd"/>
            <w:r w:rsidRPr="009B7E85">
              <w:rPr>
                <w:rFonts w:ascii="Arial" w:hAnsi="Arial" w:cs="Arial"/>
                <w:b/>
                <w:color w:val="000000"/>
                <w:sz w:val="20"/>
                <w:lang w:val="fr-FR"/>
              </w:rPr>
              <w:t xml:space="preserve">, SG Ministère de l'Industrie, du Commerce et des Nouvelles Technologies : </w:t>
            </w:r>
          </w:p>
          <w:p w:rsidR="007F6002" w:rsidRDefault="007F6002" w:rsidP="009B7E85">
            <w:pPr>
              <w:jc w:val="both"/>
              <w:rPr>
                <w:rFonts w:ascii="Arial" w:hAnsi="Arial" w:cs="Arial"/>
                <w:b/>
                <w:color w:val="000000"/>
                <w:sz w:val="20"/>
                <w:lang w:val="fr-FR"/>
              </w:rPr>
            </w:pPr>
          </w:p>
          <w:p w:rsidR="00E679E6" w:rsidRPr="00560841" w:rsidRDefault="009B7E85" w:rsidP="00EA77A9">
            <w:pPr>
              <w:jc w:val="both"/>
              <w:rPr>
                <w:rFonts w:ascii="Arial" w:hAnsi="Arial" w:cs="Arial"/>
                <w:i/>
                <w:color w:val="000000"/>
                <w:sz w:val="20"/>
                <w:szCs w:val="20"/>
                <w:lang w:val="fr-FR"/>
              </w:rPr>
            </w:pPr>
            <w:r w:rsidRPr="009B7E85">
              <w:rPr>
                <w:rFonts w:ascii="Arial" w:hAnsi="Arial" w:cs="Arial"/>
                <w:color w:val="000000"/>
                <w:sz w:val="20"/>
                <w:szCs w:val="20"/>
                <w:lang w:val="fr-FR"/>
              </w:rPr>
              <w:t xml:space="preserve">« Le salon devient au fil des éditions un rendez-vous majeur de rencontres entre les producteurs et exportateurs marocains et leurs partenaires étrangers du secteur. </w:t>
            </w:r>
            <w:r w:rsidRPr="00560841">
              <w:rPr>
                <w:rFonts w:ascii="Arial" w:hAnsi="Arial" w:cs="Arial"/>
                <w:color w:val="000000"/>
                <w:sz w:val="20"/>
                <w:szCs w:val="20"/>
                <w:lang w:val="fr-FR"/>
              </w:rPr>
              <w:t>La forte présence étrangère dans cette édition ainsi que les thématiques retenues et leur nouveauté témoignent de l'importance qu'accordent les entreprises pour le développement de cette filière qui occupe de plus en plus une place notable dans le développement du tissu productif national. »</w:t>
            </w:r>
          </w:p>
        </w:tc>
      </w:tr>
      <w:tr w:rsidR="00E679E6" w:rsidRPr="00EA77A9" w:rsidTr="003848FE">
        <w:tc>
          <w:tcPr>
            <w:tcW w:w="1526" w:type="dxa"/>
          </w:tcPr>
          <w:p w:rsidR="00E679E6" w:rsidRPr="00560841" w:rsidRDefault="00E679E6" w:rsidP="00BC1C2D">
            <w:pPr>
              <w:tabs>
                <w:tab w:val="left" w:pos="1335"/>
                <w:tab w:val="left" w:pos="5940"/>
              </w:tabs>
              <w:spacing w:line="276" w:lineRule="auto"/>
              <w:ind w:right="2689"/>
              <w:jc w:val="both"/>
              <w:rPr>
                <w:noProof/>
                <w:lang w:val="fr-FR"/>
              </w:rPr>
            </w:pPr>
          </w:p>
        </w:tc>
        <w:tc>
          <w:tcPr>
            <w:tcW w:w="7938" w:type="dxa"/>
          </w:tcPr>
          <w:p w:rsidR="00E679E6" w:rsidRPr="00560841" w:rsidRDefault="00E679E6" w:rsidP="00BC1C2D">
            <w:pPr>
              <w:tabs>
                <w:tab w:val="left" w:pos="1335"/>
                <w:tab w:val="left" w:pos="5940"/>
              </w:tabs>
              <w:spacing w:line="276" w:lineRule="auto"/>
              <w:rPr>
                <w:rFonts w:ascii="Arial" w:hAnsi="Arial" w:cs="Arial"/>
                <w:b/>
                <w:color w:val="000000"/>
                <w:sz w:val="20"/>
                <w:szCs w:val="20"/>
                <w:lang w:val="fr-FR"/>
              </w:rPr>
            </w:pPr>
          </w:p>
        </w:tc>
      </w:tr>
      <w:tr w:rsidR="00E679E6" w:rsidRPr="00654D6A" w:rsidTr="003848FE">
        <w:trPr>
          <w:trHeight w:val="1117"/>
        </w:trPr>
        <w:tc>
          <w:tcPr>
            <w:tcW w:w="1526" w:type="dxa"/>
          </w:tcPr>
          <w:p w:rsidR="00E679E6" w:rsidRPr="00B47175" w:rsidRDefault="00FA0E2A" w:rsidP="00B47175">
            <w:pPr>
              <w:tabs>
                <w:tab w:val="left" w:pos="5940"/>
              </w:tabs>
              <w:spacing w:line="276" w:lineRule="auto"/>
              <w:ind w:right="2689"/>
              <w:jc w:val="both"/>
              <w:rPr>
                <w:noProof/>
                <w:lang w:val="en-US"/>
              </w:rPr>
            </w:pPr>
            <w:r>
              <w:rPr>
                <w:noProof/>
                <w:lang w:val="en-GB" w:eastAsia="en-GB"/>
              </w:rPr>
              <w:drawing>
                <wp:inline distT="0" distB="0" distL="0" distR="0" wp14:anchorId="27466D2F" wp14:editId="53D76303">
                  <wp:extent cx="914399" cy="935665"/>
                  <wp:effectExtent l="0" t="0" r="635" b="0"/>
                  <wp:docPr id="22" name="Grafik 22" descr="https://storage8.rapidmail.de/maileditor/54e6fe276dc827431597449a1d2bb493/1pda8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orage8.rapidmail.de/maileditor/54e6fe276dc827431597449a1d2bb493/1pda8iu.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2282" t="-1" b="28903"/>
                          <a:stretch/>
                        </pic:blipFill>
                        <pic:spPr bwMode="auto">
                          <a:xfrm>
                            <a:off x="0" y="0"/>
                            <a:ext cx="914400" cy="9356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rsidR="007F6002" w:rsidRPr="00560841" w:rsidRDefault="007F6002" w:rsidP="007F6002">
            <w:pPr>
              <w:rPr>
                <w:rFonts w:ascii="Arial" w:hAnsi="Arial" w:cs="Arial"/>
                <w:b/>
                <w:color w:val="000000"/>
                <w:sz w:val="20"/>
                <w:lang w:val="fr-FR"/>
              </w:rPr>
            </w:pPr>
            <w:r w:rsidRPr="00560841">
              <w:rPr>
                <w:rFonts w:ascii="Arial" w:hAnsi="Arial" w:cs="Arial"/>
                <w:b/>
                <w:color w:val="000000"/>
                <w:sz w:val="20"/>
                <w:lang w:val="fr-FR"/>
              </w:rPr>
              <w:t xml:space="preserve">M. Andreas </w:t>
            </w:r>
            <w:proofErr w:type="spellStart"/>
            <w:r w:rsidRPr="00560841">
              <w:rPr>
                <w:rFonts w:ascii="Arial" w:hAnsi="Arial" w:cs="Arial"/>
                <w:b/>
                <w:color w:val="000000"/>
                <w:sz w:val="20"/>
                <w:lang w:val="fr-FR"/>
              </w:rPr>
              <w:t>Gast</w:t>
            </w:r>
            <w:proofErr w:type="spellEnd"/>
            <w:r w:rsidRPr="00560841">
              <w:rPr>
                <w:rFonts w:ascii="Arial" w:hAnsi="Arial" w:cs="Arial"/>
                <w:b/>
                <w:color w:val="000000"/>
                <w:sz w:val="20"/>
                <w:lang w:val="fr-FR"/>
              </w:rPr>
              <w:t xml:space="preserve">, SMA </w:t>
            </w:r>
            <w:proofErr w:type="spellStart"/>
            <w:r w:rsidRPr="00560841">
              <w:rPr>
                <w:rFonts w:ascii="Arial" w:hAnsi="Arial" w:cs="Arial"/>
                <w:b/>
                <w:color w:val="000000"/>
                <w:sz w:val="20"/>
                <w:lang w:val="fr-FR"/>
              </w:rPr>
              <w:t>Solar</w:t>
            </w:r>
            <w:proofErr w:type="spellEnd"/>
            <w:r w:rsidRPr="00560841">
              <w:rPr>
                <w:rFonts w:ascii="Arial" w:hAnsi="Arial" w:cs="Arial"/>
                <w:b/>
                <w:color w:val="000000"/>
                <w:sz w:val="20"/>
                <w:lang w:val="fr-FR"/>
              </w:rPr>
              <w:t xml:space="preserve"> </w:t>
            </w:r>
            <w:proofErr w:type="spellStart"/>
            <w:r w:rsidRPr="00560841">
              <w:rPr>
                <w:rFonts w:ascii="Arial" w:hAnsi="Arial" w:cs="Arial"/>
                <w:b/>
                <w:color w:val="000000"/>
                <w:sz w:val="20"/>
                <w:lang w:val="fr-FR"/>
              </w:rPr>
              <w:t>Technology</w:t>
            </w:r>
            <w:proofErr w:type="spellEnd"/>
            <w:r w:rsidRPr="00560841">
              <w:rPr>
                <w:rFonts w:ascii="Arial" w:hAnsi="Arial" w:cs="Arial"/>
                <w:b/>
                <w:color w:val="000000"/>
                <w:sz w:val="20"/>
                <w:lang w:val="fr-FR"/>
              </w:rPr>
              <w:t xml:space="preserve"> AG :</w:t>
            </w:r>
          </w:p>
          <w:p w:rsidR="007F6002" w:rsidRPr="00560841" w:rsidRDefault="007F6002" w:rsidP="007F6002">
            <w:pPr>
              <w:rPr>
                <w:rFonts w:ascii="Arial" w:hAnsi="Arial" w:cs="Arial"/>
                <w:b/>
                <w:color w:val="000000"/>
                <w:sz w:val="20"/>
                <w:lang w:val="fr-FR"/>
              </w:rPr>
            </w:pPr>
          </w:p>
          <w:p w:rsidR="00E679E6" w:rsidRPr="007F6002" w:rsidRDefault="007F6002" w:rsidP="00654D6A">
            <w:pPr>
              <w:jc w:val="both"/>
              <w:rPr>
                <w:rFonts w:ascii="Arial" w:hAnsi="Arial" w:cs="Arial"/>
                <w:color w:val="000000"/>
                <w:sz w:val="20"/>
                <w:szCs w:val="20"/>
                <w:lang w:val="fr-FR"/>
              </w:rPr>
            </w:pPr>
            <w:r w:rsidRPr="00560841">
              <w:rPr>
                <w:rFonts w:ascii="Arial" w:hAnsi="Arial" w:cs="Arial"/>
                <w:color w:val="000000"/>
                <w:sz w:val="20"/>
                <w:szCs w:val="20"/>
                <w:lang w:val="fr-FR"/>
              </w:rPr>
              <w:t xml:space="preserve">« SMA </w:t>
            </w:r>
            <w:proofErr w:type="spellStart"/>
            <w:r w:rsidRPr="00560841">
              <w:rPr>
                <w:rFonts w:ascii="Arial" w:hAnsi="Arial" w:cs="Arial"/>
                <w:color w:val="000000"/>
                <w:sz w:val="20"/>
                <w:szCs w:val="20"/>
                <w:lang w:val="fr-FR"/>
              </w:rPr>
              <w:t>Solar</w:t>
            </w:r>
            <w:proofErr w:type="spellEnd"/>
            <w:r w:rsidRPr="00560841">
              <w:rPr>
                <w:rFonts w:ascii="Arial" w:hAnsi="Arial" w:cs="Arial"/>
                <w:color w:val="000000"/>
                <w:sz w:val="20"/>
                <w:szCs w:val="20"/>
                <w:lang w:val="fr-FR"/>
              </w:rPr>
              <w:t xml:space="preserve"> </w:t>
            </w:r>
            <w:proofErr w:type="spellStart"/>
            <w:r w:rsidRPr="00560841">
              <w:rPr>
                <w:rFonts w:ascii="Arial" w:hAnsi="Arial" w:cs="Arial"/>
                <w:color w:val="000000"/>
                <w:sz w:val="20"/>
                <w:szCs w:val="20"/>
                <w:lang w:val="fr-FR"/>
              </w:rPr>
              <w:t>Technology</w:t>
            </w:r>
            <w:proofErr w:type="spellEnd"/>
            <w:r w:rsidRPr="00560841">
              <w:rPr>
                <w:rFonts w:ascii="Arial" w:hAnsi="Arial" w:cs="Arial"/>
                <w:color w:val="000000"/>
                <w:sz w:val="20"/>
                <w:szCs w:val="20"/>
                <w:lang w:val="fr-FR"/>
              </w:rPr>
              <w:t xml:space="preserve"> AG est leader mondial du développement, de la fabrication et de la distribution d’onduleurs solaires. </w:t>
            </w:r>
            <w:r w:rsidR="00654D6A" w:rsidRPr="00654D6A">
              <w:rPr>
                <w:rFonts w:ascii="Arial" w:hAnsi="Arial" w:cs="Arial"/>
                <w:color w:val="000000"/>
                <w:sz w:val="20"/>
                <w:szCs w:val="20"/>
                <w:lang w:val="fr-FR"/>
              </w:rPr>
              <w:t>Nous avons eu beaucoup de bons contacts au salon. »</w:t>
            </w:r>
          </w:p>
        </w:tc>
      </w:tr>
      <w:tr w:rsidR="00E679E6" w:rsidRPr="00654D6A" w:rsidTr="003848FE">
        <w:tc>
          <w:tcPr>
            <w:tcW w:w="1526" w:type="dxa"/>
          </w:tcPr>
          <w:p w:rsidR="00E679E6" w:rsidRPr="007F6002" w:rsidRDefault="00E679E6" w:rsidP="00BC1C2D">
            <w:pPr>
              <w:tabs>
                <w:tab w:val="left" w:pos="1335"/>
                <w:tab w:val="left" w:pos="5940"/>
              </w:tabs>
              <w:spacing w:line="276" w:lineRule="auto"/>
              <w:ind w:right="2689"/>
              <w:jc w:val="both"/>
              <w:rPr>
                <w:noProof/>
                <w:lang w:val="fr-FR"/>
              </w:rPr>
            </w:pPr>
          </w:p>
        </w:tc>
        <w:tc>
          <w:tcPr>
            <w:tcW w:w="7938" w:type="dxa"/>
          </w:tcPr>
          <w:p w:rsidR="00E679E6" w:rsidRPr="007F6002" w:rsidRDefault="00E679E6" w:rsidP="00BC1C2D">
            <w:pPr>
              <w:tabs>
                <w:tab w:val="left" w:pos="1335"/>
                <w:tab w:val="left" w:pos="5940"/>
              </w:tabs>
              <w:spacing w:line="276" w:lineRule="auto"/>
              <w:rPr>
                <w:rFonts w:ascii="Arial" w:hAnsi="Arial" w:cs="Arial"/>
                <w:b/>
                <w:color w:val="000000"/>
                <w:sz w:val="20"/>
                <w:szCs w:val="20"/>
                <w:lang w:val="fr-FR"/>
              </w:rPr>
            </w:pPr>
          </w:p>
        </w:tc>
      </w:tr>
      <w:tr w:rsidR="00E679E6" w:rsidRPr="00EA77A9" w:rsidTr="003848FE">
        <w:trPr>
          <w:trHeight w:val="1117"/>
        </w:trPr>
        <w:tc>
          <w:tcPr>
            <w:tcW w:w="1526" w:type="dxa"/>
          </w:tcPr>
          <w:p w:rsidR="00E679E6" w:rsidRPr="00B47175" w:rsidRDefault="00D648F2" w:rsidP="00B47175">
            <w:pPr>
              <w:tabs>
                <w:tab w:val="left" w:pos="1335"/>
                <w:tab w:val="left" w:pos="5940"/>
              </w:tabs>
              <w:spacing w:line="276" w:lineRule="auto"/>
              <w:jc w:val="both"/>
              <w:rPr>
                <w:rFonts w:ascii="Arial" w:hAnsi="Arial" w:cs="Arial"/>
                <w:b/>
                <w:color w:val="000000"/>
                <w:sz w:val="20"/>
                <w:lang w:val="en-US"/>
              </w:rPr>
            </w:pPr>
            <w:r w:rsidRPr="00B47175">
              <w:rPr>
                <w:rFonts w:ascii="Arial" w:hAnsi="Arial" w:cs="Arial"/>
                <w:b/>
                <w:noProof/>
                <w:color w:val="000000"/>
                <w:sz w:val="20"/>
                <w:lang w:val="en-GB" w:eastAsia="en-GB"/>
              </w:rPr>
              <w:drawing>
                <wp:inline distT="0" distB="0" distL="0" distR="0" wp14:anchorId="08FE5A1C" wp14:editId="20D3ACDB">
                  <wp:extent cx="895476" cy="1020725"/>
                  <wp:effectExtent l="0" t="0" r="0" b="8255"/>
                  <wp:docPr id="4" name="Grafik 4" descr="https://storage8.rapidmail.de/maileditor/54e6fe276dc827431597449a1d2bb493/4kh3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orage8.rapidmail.de/maileditor/54e6fe276dc827431597449a1d2bb493/4kh3e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111"/>
                          <a:stretch/>
                        </pic:blipFill>
                        <pic:spPr bwMode="auto">
                          <a:xfrm>
                            <a:off x="0" y="0"/>
                            <a:ext cx="900000" cy="10258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rsidR="0077201E" w:rsidRDefault="001364B8" w:rsidP="00B47175">
            <w:pPr>
              <w:rPr>
                <w:rFonts w:ascii="Arial" w:hAnsi="Arial" w:cs="Arial"/>
                <w:b/>
                <w:color w:val="000000"/>
                <w:sz w:val="20"/>
                <w:lang w:val="en-US"/>
              </w:rPr>
            </w:pPr>
            <w:r>
              <w:rPr>
                <w:rFonts w:ascii="Arial" w:hAnsi="Arial" w:cs="Arial"/>
                <w:b/>
                <w:color w:val="000000"/>
                <w:sz w:val="20"/>
                <w:lang w:val="en-US"/>
              </w:rPr>
              <w:t>M.</w:t>
            </w:r>
            <w:r w:rsidR="0077201E" w:rsidRPr="00B47175">
              <w:rPr>
                <w:rFonts w:ascii="Arial" w:hAnsi="Arial" w:cs="Arial"/>
                <w:b/>
                <w:color w:val="000000"/>
                <w:sz w:val="20"/>
                <w:lang w:val="en-US"/>
              </w:rPr>
              <w:t xml:space="preserve"> Thierry </w:t>
            </w:r>
            <w:proofErr w:type="spellStart"/>
            <w:r w:rsidR="0077201E" w:rsidRPr="00B47175">
              <w:rPr>
                <w:rFonts w:ascii="Arial" w:hAnsi="Arial" w:cs="Arial"/>
                <w:b/>
                <w:color w:val="000000"/>
                <w:sz w:val="20"/>
                <w:lang w:val="en-US"/>
              </w:rPr>
              <w:t>Pelibossian</w:t>
            </w:r>
            <w:proofErr w:type="spellEnd"/>
            <w:r w:rsidR="0077201E" w:rsidRPr="00B47175">
              <w:rPr>
                <w:rFonts w:ascii="Arial" w:hAnsi="Arial" w:cs="Arial"/>
                <w:b/>
                <w:color w:val="000000"/>
                <w:sz w:val="20"/>
                <w:lang w:val="en-US"/>
              </w:rPr>
              <w:t>, Phoenix Contact SAS</w:t>
            </w:r>
            <w:r>
              <w:rPr>
                <w:rFonts w:ascii="Arial" w:hAnsi="Arial" w:cs="Arial"/>
                <w:b/>
                <w:color w:val="000000"/>
                <w:sz w:val="20"/>
                <w:lang w:val="en-US"/>
              </w:rPr>
              <w:t xml:space="preserve"> </w:t>
            </w:r>
            <w:r w:rsidR="0077201E" w:rsidRPr="00B47175">
              <w:rPr>
                <w:rFonts w:ascii="Arial" w:hAnsi="Arial" w:cs="Arial"/>
                <w:b/>
                <w:color w:val="000000"/>
                <w:sz w:val="20"/>
                <w:lang w:val="en-US"/>
              </w:rPr>
              <w:t>:</w:t>
            </w:r>
          </w:p>
          <w:p w:rsidR="00B47175" w:rsidRPr="00B47175" w:rsidRDefault="00B47175" w:rsidP="00B47175">
            <w:pPr>
              <w:rPr>
                <w:rFonts w:ascii="Arial" w:hAnsi="Arial" w:cs="Arial"/>
                <w:b/>
                <w:color w:val="000000"/>
                <w:sz w:val="20"/>
                <w:lang w:val="en-US"/>
              </w:rPr>
            </w:pPr>
          </w:p>
          <w:p w:rsidR="00E679E6" w:rsidRPr="001364B8" w:rsidRDefault="001364B8" w:rsidP="003507FD">
            <w:pPr>
              <w:jc w:val="both"/>
              <w:rPr>
                <w:rFonts w:ascii="Arial" w:hAnsi="Arial" w:cs="Arial"/>
                <w:color w:val="000000"/>
                <w:sz w:val="20"/>
                <w:lang w:val="fr-FR"/>
              </w:rPr>
            </w:pPr>
            <w:r w:rsidRPr="009B7E85">
              <w:rPr>
                <w:rFonts w:ascii="Arial" w:hAnsi="Arial" w:cs="Arial"/>
                <w:color w:val="000000"/>
                <w:sz w:val="20"/>
                <w:szCs w:val="20"/>
                <w:lang w:val="fr-FR"/>
              </w:rPr>
              <w:t xml:space="preserve">« </w:t>
            </w:r>
            <w:r w:rsidRPr="001364B8">
              <w:rPr>
                <w:rFonts w:ascii="Arial" w:hAnsi="Arial" w:cs="Arial"/>
                <w:color w:val="000000"/>
                <w:sz w:val="20"/>
                <w:lang w:val="fr-FR"/>
              </w:rPr>
              <w:t>Nous avons décidé de faire connaitre nos produits au Maroc car le potentiel industriel est présent, que l’industrie se développe plus en plus et que les besoins se font sentir. Le Maroc est aussi une des portes d’ouvertes vers l’Afrique. Le salon est un moyen puissant de communication, de rencontre et de la promotion de nos produits vers nos clients, vers de nouveaux potentiels ou nos partenaires. »</w:t>
            </w:r>
          </w:p>
        </w:tc>
      </w:tr>
      <w:tr w:rsidR="00326CC6" w:rsidRPr="00EA77A9" w:rsidTr="003848FE">
        <w:tc>
          <w:tcPr>
            <w:tcW w:w="1526" w:type="dxa"/>
          </w:tcPr>
          <w:p w:rsidR="00326CC6" w:rsidRPr="001364B8" w:rsidRDefault="00326CC6" w:rsidP="00BC1C2D">
            <w:pPr>
              <w:tabs>
                <w:tab w:val="left" w:pos="1335"/>
                <w:tab w:val="left" w:pos="5940"/>
              </w:tabs>
              <w:spacing w:line="276" w:lineRule="auto"/>
              <w:ind w:right="2689"/>
              <w:jc w:val="both"/>
              <w:rPr>
                <w:noProof/>
                <w:lang w:val="fr-FR"/>
              </w:rPr>
            </w:pPr>
          </w:p>
        </w:tc>
        <w:tc>
          <w:tcPr>
            <w:tcW w:w="7938" w:type="dxa"/>
          </w:tcPr>
          <w:p w:rsidR="00326CC6" w:rsidRPr="001364B8" w:rsidRDefault="00326CC6" w:rsidP="00BC1C2D">
            <w:pPr>
              <w:tabs>
                <w:tab w:val="left" w:pos="1335"/>
                <w:tab w:val="left" w:pos="5940"/>
              </w:tabs>
              <w:spacing w:line="276" w:lineRule="auto"/>
              <w:rPr>
                <w:rFonts w:ascii="Arial" w:hAnsi="Arial" w:cs="Arial"/>
                <w:b/>
                <w:color w:val="000000"/>
                <w:sz w:val="20"/>
                <w:szCs w:val="20"/>
                <w:lang w:val="fr-FR"/>
              </w:rPr>
            </w:pPr>
          </w:p>
        </w:tc>
      </w:tr>
      <w:tr w:rsidR="000826A5" w:rsidRPr="00EA77A9" w:rsidTr="003848FE">
        <w:tc>
          <w:tcPr>
            <w:tcW w:w="1526" w:type="dxa"/>
          </w:tcPr>
          <w:p w:rsidR="000826A5" w:rsidRPr="00340BD9" w:rsidRDefault="0077201E" w:rsidP="00BC1C2D">
            <w:pPr>
              <w:tabs>
                <w:tab w:val="left" w:pos="1335"/>
                <w:tab w:val="left" w:pos="5940"/>
              </w:tabs>
              <w:spacing w:line="276" w:lineRule="auto"/>
              <w:ind w:right="2689"/>
              <w:jc w:val="both"/>
              <w:rPr>
                <w:noProof/>
                <w:lang w:val="en-US"/>
              </w:rPr>
            </w:pPr>
            <w:r>
              <w:rPr>
                <w:noProof/>
                <w:lang w:val="en-GB" w:eastAsia="en-GB"/>
              </w:rPr>
              <w:drawing>
                <wp:inline distT="0" distB="0" distL="0" distR="0" wp14:anchorId="6CE2232A" wp14:editId="3A6C0143">
                  <wp:extent cx="903768" cy="954274"/>
                  <wp:effectExtent l="0" t="0" r="0" b="0"/>
                  <wp:docPr id="14" name="Grafik 14" descr="https://storage8.rapidmail.de/maileditor/54e6fe276dc827431597449a1d2bb493/1hbnf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orage8.rapidmail.de/maileditor/54e6fe276dc827431597449a1d2bb493/1hbnf6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000" t="15530" b="-1"/>
                          <a:stretch/>
                        </pic:blipFill>
                        <pic:spPr bwMode="auto">
                          <a:xfrm>
                            <a:off x="0" y="0"/>
                            <a:ext cx="900000" cy="9502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rsidR="00B47175" w:rsidRPr="00B47175" w:rsidRDefault="000555AF" w:rsidP="0077201E">
            <w:pPr>
              <w:rPr>
                <w:rFonts w:ascii="Arial" w:hAnsi="Arial" w:cs="Arial"/>
                <w:b/>
                <w:color w:val="000000"/>
                <w:sz w:val="20"/>
                <w:lang w:val="en-US"/>
              </w:rPr>
            </w:pPr>
            <w:r>
              <w:rPr>
                <w:rFonts w:ascii="Arial" w:hAnsi="Arial" w:cs="Arial"/>
                <w:b/>
                <w:color w:val="000000"/>
                <w:sz w:val="20"/>
                <w:lang w:val="en-US"/>
              </w:rPr>
              <w:t>M</w:t>
            </w:r>
            <w:r w:rsidR="001364B8">
              <w:rPr>
                <w:rFonts w:ascii="Arial" w:hAnsi="Arial" w:cs="Arial"/>
                <w:b/>
                <w:color w:val="000000"/>
                <w:sz w:val="20"/>
                <w:lang w:val="en-US"/>
              </w:rPr>
              <w:t>.</w:t>
            </w:r>
            <w:r>
              <w:rPr>
                <w:rFonts w:ascii="Arial" w:hAnsi="Arial" w:cs="Arial"/>
                <w:b/>
                <w:color w:val="000000"/>
                <w:sz w:val="20"/>
                <w:lang w:val="en-US"/>
              </w:rPr>
              <w:t xml:space="preserve"> Shi Ryan, ZTT Group</w:t>
            </w:r>
            <w:r w:rsidR="001364B8">
              <w:rPr>
                <w:rFonts w:ascii="Arial" w:hAnsi="Arial" w:cs="Arial"/>
                <w:b/>
                <w:color w:val="000000"/>
                <w:sz w:val="20"/>
                <w:lang w:val="en-US"/>
              </w:rPr>
              <w:t xml:space="preserve"> </w:t>
            </w:r>
            <w:r>
              <w:rPr>
                <w:rFonts w:ascii="Arial" w:hAnsi="Arial" w:cs="Arial"/>
                <w:b/>
                <w:color w:val="000000"/>
                <w:sz w:val="20"/>
                <w:lang w:val="en-US"/>
              </w:rPr>
              <w:t>:</w:t>
            </w:r>
          </w:p>
          <w:p w:rsidR="00B47175" w:rsidRDefault="00B47175" w:rsidP="0077201E">
            <w:pPr>
              <w:rPr>
                <w:b/>
                <w:bCs/>
                <w:i/>
                <w:iCs/>
                <w:lang w:val="en-US"/>
              </w:rPr>
            </w:pPr>
          </w:p>
          <w:p w:rsidR="000826A5" w:rsidRPr="001364B8" w:rsidRDefault="001364B8" w:rsidP="001364B8">
            <w:pPr>
              <w:tabs>
                <w:tab w:val="left" w:pos="1335"/>
                <w:tab w:val="left" w:pos="5940"/>
              </w:tabs>
              <w:spacing w:line="276" w:lineRule="auto"/>
              <w:jc w:val="both"/>
              <w:rPr>
                <w:rFonts w:ascii="Arial" w:hAnsi="Arial" w:cs="Arial"/>
                <w:b/>
                <w:i/>
                <w:color w:val="000000"/>
                <w:sz w:val="20"/>
                <w:szCs w:val="20"/>
                <w:lang w:val="fr-FR"/>
              </w:rPr>
            </w:pPr>
            <w:r>
              <w:rPr>
                <w:rFonts w:ascii="Arial" w:hAnsi="Arial" w:cs="Arial"/>
                <w:color w:val="000000"/>
                <w:sz w:val="20"/>
                <w:lang w:val="fr-FR"/>
              </w:rPr>
              <w:t>« </w:t>
            </w:r>
            <w:r w:rsidRPr="001364B8">
              <w:rPr>
                <w:rFonts w:ascii="Arial" w:hAnsi="Arial" w:cs="Arial"/>
                <w:color w:val="000000"/>
                <w:sz w:val="20"/>
                <w:lang w:val="fr-FR"/>
              </w:rPr>
              <w:t xml:space="preserve">Notamment en ce secteur on a fait des contacts de haute valeur au salon elec expo concernant le marché marocain. En plus on a lancé des coopérations très bonnes au secteur de conducteur avec les entreprises local, comme : ONE, </w:t>
            </w:r>
            <w:proofErr w:type="spellStart"/>
            <w:r w:rsidRPr="001364B8">
              <w:rPr>
                <w:rFonts w:ascii="Arial" w:hAnsi="Arial" w:cs="Arial"/>
                <w:color w:val="000000"/>
                <w:sz w:val="20"/>
                <w:lang w:val="fr-FR"/>
              </w:rPr>
              <w:t>Centrelec</w:t>
            </w:r>
            <w:proofErr w:type="spellEnd"/>
            <w:r w:rsidRPr="001364B8">
              <w:rPr>
                <w:rFonts w:ascii="Arial" w:hAnsi="Arial" w:cs="Arial"/>
                <w:color w:val="000000"/>
                <w:sz w:val="20"/>
                <w:lang w:val="fr-FR"/>
              </w:rPr>
              <w:t xml:space="preserve"> ou MMK. »</w:t>
            </w:r>
          </w:p>
        </w:tc>
      </w:tr>
      <w:tr w:rsidR="000826A5" w:rsidRPr="00EA77A9" w:rsidTr="003848FE">
        <w:tc>
          <w:tcPr>
            <w:tcW w:w="1526" w:type="dxa"/>
          </w:tcPr>
          <w:p w:rsidR="000826A5" w:rsidRPr="001364B8" w:rsidRDefault="000826A5" w:rsidP="00BC1C2D">
            <w:pPr>
              <w:tabs>
                <w:tab w:val="left" w:pos="1335"/>
                <w:tab w:val="left" w:pos="5940"/>
              </w:tabs>
              <w:spacing w:line="276" w:lineRule="auto"/>
              <w:ind w:right="2689"/>
              <w:jc w:val="both"/>
              <w:rPr>
                <w:noProof/>
                <w:lang w:val="fr-FR"/>
              </w:rPr>
            </w:pPr>
          </w:p>
        </w:tc>
        <w:tc>
          <w:tcPr>
            <w:tcW w:w="7938" w:type="dxa"/>
          </w:tcPr>
          <w:p w:rsidR="000826A5" w:rsidRPr="001364B8" w:rsidRDefault="000826A5" w:rsidP="00BC1C2D">
            <w:pPr>
              <w:tabs>
                <w:tab w:val="left" w:pos="1335"/>
                <w:tab w:val="left" w:pos="5940"/>
              </w:tabs>
              <w:spacing w:line="276" w:lineRule="auto"/>
              <w:rPr>
                <w:rFonts w:ascii="Arial" w:hAnsi="Arial" w:cs="Arial"/>
                <w:b/>
                <w:color w:val="000000"/>
                <w:sz w:val="20"/>
                <w:szCs w:val="20"/>
                <w:lang w:val="fr-FR"/>
              </w:rPr>
            </w:pPr>
          </w:p>
        </w:tc>
      </w:tr>
      <w:tr w:rsidR="000826A5" w:rsidRPr="00EA77A9" w:rsidTr="003848FE">
        <w:tc>
          <w:tcPr>
            <w:tcW w:w="1526" w:type="dxa"/>
          </w:tcPr>
          <w:p w:rsidR="000826A5" w:rsidRPr="00340BD9" w:rsidRDefault="00FA0E2A" w:rsidP="00BC1C2D">
            <w:pPr>
              <w:tabs>
                <w:tab w:val="left" w:pos="1335"/>
                <w:tab w:val="left" w:pos="5940"/>
              </w:tabs>
              <w:spacing w:line="276" w:lineRule="auto"/>
              <w:ind w:right="2689"/>
              <w:jc w:val="both"/>
              <w:rPr>
                <w:noProof/>
                <w:lang w:val="en-US"/>
              </w:rPr>
            </w:pPr>
            <w:r>
              <w:rPr>
                <w:noProof/>
                <w:lang w:val="en-GB" w:eastAsia="en-GB"/>
              </w:rPr>
              <w:drawing>
                <wp:inline distT="0" distB="0" distL="0" distR="0" wp14:anchorId="6DD006AF" wp14:editId="609D62FB">
                  <wp:extent cx="900670" cy="988828"/>
                  <wp:effectExtent l="0" t="0" r="0" b="1905"/>
                  <wp:docPr id="6" name="Grafik 6" descr="https://storage15.rapidmail.de/maileditor/bf7cf8d357b1bbd9475a860257218374/u1zf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orage15.rapidmail.de/maileditor/bf7cf8d357b1bbd9475a860257218374/u1zfvi.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1618" b="-1"/>
                          <a:stretch/>
                        </pic:blipFill>
                        <pic:spPr bwMode="auto">
                          <a:xfrm>
                            <a:off x="0" y="0"/>
                            <a:ext cx="900000" cy="9880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8" w:type="dxa"/>
          </w:tcPr>
          <w:p w:rsidR="00FA0E2A" w:rsidRDefault="001364B8" w:rsidP="00FA0E2A">
            <w:pPr>
              <w:rPr>
                <w:rFonts w:ascii="Arial" w:hAnsi="Arial" w:cs="Arial"/>
                <w:b/>
                <w:color w:val="000000"/>
                <w:sz w:val="20"/>
                <w:lang w:val="fr-FR"/>
              </w:rPr>
            </w:pPr>
            <w:r w:rsidRPr="001364B8">
              <w:rPr>
                <w:rFonts w:ascii="Arial" w:hAnsi="Arial" w:cs="Arial"/>
                <w:b/>
                <w:color w:val="000000"/>
                <w:sz w:val="20"/>
                <w:lang w:val="fr-FR"/>
              </w:rPr>
              <w:t>Mme Marie-Christine Blot, IMEDER Institut Méditerranéen des Energies Renouvelables :</w:t>
            </w:r>
          </w:p>
          <w:p w:rsidR="001364B8" w:rsidRDefault="001364B8" w:rsidP="00FA0E2A">
            <w:pPr>
              <w:rPr>
                <w:rStyle w:val="Fett"/>
                <w:lang w:val="fr-FR"/>
              </w:rPr>
            </w:pPr>
          </w:p>
          <w:p w:rsidR="00263950" w:rsidRPr="001364B8" w:rsidRDefault="001364B8" w:rsidP="001364B8">
            <w:pPr>
              <w:tabs>
                <w:tab w:val="left" w:pos="1335"/>
                <w:tab w:val="left" w:pos="5940"/>
              </w:tabs>
              <w:spacing w:line="276" w:lineRule="auto"/>
              <w:jc w:val="both"/>
              <w:rPr>
                <w:rFonts w:ascii="Arial" w:hAnsi="Arial" w:cs="Arial"/>
                <w:b/>
                <w:color w:val="000000"/>
                <w:sz w:val="20"/>
                <w:szCs w:val="20"/>
                <w:lang w:val="fr-FR"/>
              </w:rPr>
            </w:pPr>
            <w:r>
              <w:rPr>
                <w:rFonts w:ascii="Arial" w:hAnsi="Arial" w:cs="Arial"/>
                <w:color w:val="000000"/>
                <w:sz w:val="20"/>
                <w:lang w:val="fr-FR"/>
              </w:rPr>
              <w:t>« </w:t>
            </w:r>
            <w:r w:rsidRPr="001364B8">
              <w:rPr>
                <w:rFonts w:ascii="Arial" w:hAnsi="Arial" w:cs="Arial"/>
                <w:color w:val="000000"/>
                <w:sz w:val="20"/>
                <w:lang w:val="fr-FR"/>
              </w:rPr>
              <w:t>Pour nous ce salon est une plate-forme incontournable pour ouvrir de nouveaux territoires hors de France, gagnant-gagnant. Et pour rencontrer des protagonistes de l’industrie solaire et détecter de très bons projets. »</w:t>
            </w:r>
          </w:p>
        </w:tc>
      </w:tr>
    </w:tbl>
    <w:p w:rsidR="00C909B1" w:rsidRPr="00295833" w:rsidRDefault="00295833" w:rsidP="00C909B1">
      <w:pPr>
        <w:spacing w:line="276" w:lineRule="auto"/>
        <w:ind w:right="-284"/>
        <w:rPr>
          <w:rFonts w:ascii="Arial" w:hAnsi="Arial" w:cs="Arial"/>
          <w:b/>
          <w:lang w:val="fr-FR"/>
        </w:rPr>
      </w:pPr>
      <w:r w:rsidRPr="00295833">
        <w:rPr>
          <w:rFonts w:ascii="Arial" w:hAnsi="Arial" w:cs="Arial"/>
          <w:b/>
          <w:lang w:val="fr-FR"/>
        </w:rPr>
        <w:lastRenderedPageBreak/>
        <w:t>Évaluation des statistiques-</w:t>
      </w:r>
      <w:r w:rsidRPr="00295833">
        <w:rPr>
          <w:rFonts w:ascii="Arial" w:hAnsi="Arial" w:cs="Arial"/>
          <w:b/>
          <w:u w:val="single"/>
          <w:lang w:val="fr-FR"/>
        </w:rPr>
        <w:t>visiteurs</w:t>
      </w:r>
      <w:r w:rsidRPr="00295833">
        <w:rPr>
          <w:rFonts w:ascii="Arial" w:hAnsi="Arial" w:cs="Arial"/>
          <w:b/>
          <w:lang w:val="fr-FR"/>
        </w:rPr>
        <w:t xml:space="preserve"> de </w:t>
      </w:r>
      <w:r w:rsidR="00C909B1" w:rsidRPr="00295833">
        <w:rPr>
          <w:rFonts w:ascii="Arial" w:hAnsi="Arial" w:cs="Arial"/>
          <w:b/>
          <w:lang w:val="fr-FR"/>
        </w:rPr>
        <w:t>elec expo, EneR Event &amp; Tronica Expo 2012</w:t>
      </w:r>
    </w:p>
    <w:p w:rsidR="0063462C" w:rsidRPr="00295833" w:rsidRDefault="0063462C" w:rsidP="00BC1C2D">
      <w:pPr>
        <w:tabs>
          <w:tab w:val="left" w:pos="1335"/>
          <w:tab w:val="left" w:pos="5940"/>
        </w:tabs>
        <w:spacing w:line="276" w:lineRule="auto"/>
        <w:jc w:val="both"/>
        <w:rPr>
          <w:rFonts w:ascii="Arial" w:hAnsi="Arial" w:cs="Arial"/>
          <w:b/>
          <w:color w:val="000000"/>
          <w:lang w:val="fr-FR"/>
        </w:rPr>
      </w:pPr>
    </w:p>
    <w:p w:rsidR="00BC1C2D" w:rsidRDefault="00295833" w:rsidP="00BC1C2D">
      <w:pPr>
        <w:tabs>
          <w:tab w:val="left" w:pos="1335"/>
          <w:tab w:val="left" w:pos="5940"/>
        </w:tabs>
        <w:spacing w:line="276" w:lineRule="auto"/>
        <w:rPr>
          <w:rFonts w:ascii="Arial" w:hAnsi="Arial" w:cs="Arial"/>
          <w:color w:val="000000"/>
          <w:sz w:val="20"/>
          <w:szCs w:val="20"/>
          <w:lang w:val="fr-FR"/>
        </w:rPr>
      </w:pPr>
      <w:r w:rsidRPr="00295833">
        <w:rPr>
          <w:rFonts w:ascii="Arial" w:hAnsi="Arial" w:cs="Arial"/>
          <w:color w:val="000000"/>
          <w:sz w:val="20"/>
          <w:szCs w:val="20"/>
          <w:lang w:val="fr-FR"/>
        </w:rPr>
        <w:t>Tous</w:t>
      </w:r>
      <w:r>
        <w:rPr>
          <w:rFonts w:ascii="Arial" w:hAnsi="Arial" w:cs="Arial"/>
          <w:color w:val="000000"/>
          <w:sz w:val="20"/>
          <w:szCs w:val="20"/>
          <w:lang w:val="fr-FR"/>
        </w:rPr>
        <w:t xml:space="preserve"> les 3 312</w:t>
      </w:r>
      <w:r w:rsidRPr="00295833">
        <w:rPr>
          <w:rFonts w:ascii="Arial" w:hAnsi="Arial" w:cs="Arial"/>
          <w:color w:val="000000"/>
          <w:sz w:val="20"/>
          <w:szCs w:val="20"/>
          <w:lang w:val="fr-FR"/>
        </w:rPr>
        <w:t xml:space="preserve"> visiteurs ont été priés de bien vouloir s’inscrire et de remplir un questionnaire. Les données suivantes se basent sur cette enquête réalisée par fairtrade.</w:t>
      </w:r>
    </w:p>
    <w:p w:rsidR="00295833" w:rsidRPr="00295833" w:rsidRDefault="00295833" w:rsidP="00BC1C2D">
      <w:pPr>
        <w:tabs>
          <w:tab w:val="left" w:pos="1335"/>
          <w:tab w:val="left" w:pos="5940"/>
        </w:tabs>
        <w:spacing w:line="276" w:lineRule="auto"/>
        <w:rPr>
          <w:rFonts w:ascii="Arial" w:hAnsi="Arial" w:cs="Arial"/>
          <w:b/>
          <w:color w:val="000000"/>
          <w:sz w:val="20"/>
          <w:szCs w:val="20"/>
          <w:lang w:val="fr-FR"/>
        </w:rPr>
      </w:pPr>
    </w:p>
    <w:p w:rsidR="00BC1C2D" w:rsidRPr="00CE11E5" w:rsidRDefault="00CE11E5" w:rsidP="00BC1C2D">
      <w:pPr>
        <w:tabs>
          <w:tab w:val="left" w:pos="1335"/>
          <w:tab w:val="left" w:pos="5940"/>
        </w:tabs>
        <w:spacing w:line="276" w:lineRule="auto"/>
        <w:rPr>
          <w:rFonts w:ascii="Arial" w:hAnsi="Arial" w:cs="Arial"/>
          <w:b/>
          <w:color w:val="000000"/>
          <w:sz w:val="20"/>
          <w:szCs w:val="20"/>
          <w:lang w:val="fr-FR"/>
        </w:rPr>
      </w:pPr>
      <w:r w:rsidRPr="00CE11E5">
        <w:rPr>
          <w:rFonts w:ascii="Arial" w:hAnsi="Arial" w:cs="Arial"/>
          <w:b/>
          <w:color w:val="000000"/>
          <w:sz w:val="20"/>
          <w:szCs w:val="20"/>
          <w:lang w:val="fr-FR"/>
        </w:rPr>
        <w:t>Visiteurs par fonction :</w:t>
      </w:r>
    </w:p>
    <w:p w:rsidR="00CE11E5" w:rsidRPr="00CE11E5" w:rsidRDefault="00CE11E5" w:rsidP="00BC1C2D">
      <w:pPr>
        <w:tabs>
          <w:tab w:val="left" w:pos="1335"/>
          <w:tab w:val="left" w:pos="5940"/>
        </w:tabs>
        <w:spacing w:line="276" w:lineRule="auto"/>
        <w:rPr>
          <w:rFonts w:ascii="Arial" w:hAnsi="Arial" w:cs="Arial"/>
          <w:b/>
          <w:color w:val="000000"/>
          <w:sz w:val="20"/>
          <w:szCs w:val="20"/>
          <w:lang w:val="fr-FR"/>
        </w:rPr>
      </w:pPr>
    </w:p>
    <w:p w:rsidR="00BC1C2D" w:rsidRPr="00787094" w:rsidRDefault="009A4A2A" w:rsidP="000D293B">
      <w:pPr>
        <w:tabs>
          <w:tab w:val="left" w:pos="1335"/>
          <w:tab w:val="left" w:pos="5940"/>
        </w:tabs>
        <w:spacing w:line="276" w:lineRule="auto"/>
        <w:jc w:val="both"/>
        <w:rPr>
          <w:rFonts w:ascii="Arial" w:hAnsi="Arial" w:cs="Arial"/>
          <w:sz w:val="20"/>
          <w:szCs w:val="20"/>
          <w:lang w:val="fr-FR"/>
        </w:rPr>
      </w:pPr>
      <w:r w:rsidRPr="00787094">
        <w:rPr>
          <w:rFonts w:ascii="Arial" w:hAnsi="Arial" w:cs="Arial"/>
          <w:sz w:val="20"/>
          <w:szCs w:val="20"/>
          <w:lang w:val="fr-FR"/>
        </w:rPr>
        <w:t xml:space="preserve">Au total 74% des visiteurs étaient </w:t>
      </w:r>
      <w:r w:rsidRPr="00787094">
        <w:rPr>
          <w:rFonts w:ascii="Arial" w:hAnsi="Arial" w:cs="Arial"/>
          <w:b/>
          <w:sz w:val="20"/>
          <w:szCs w:val="20"/>
          <w:lang w:val="fr-FR"/>
        </w:rPr>
        <w:t>décideurs</w:t>
      </w:r>
      <w:r w:rsidRPr="00787094">
        <w:rPr>
          <w:rFonts w:ascii="Arial" w:hAnsi="Arial" w:cs="Arial"/>
          <w:sz w:val="20"/>
          <w:szCs w:val="20"/>
          <w:lang w:val="fr-FR"/>
        </w:rPr>
        <w:t>,</w:t>
      </w:r>
      <w:r w:rsidR="00BC1C2D" w:rsidRPr="00787094">
        <w:rPr>
          <w:rFonts w:ascii="Arial" w:hAnsi="Arial" w:cs="Arial"/>
          <w:sz w:val="20"/>
          <w:szCs w:val="20"/>
          <w:lang w:val="fr-FR"/>
        </w:rPr>
        <w:t xml:space="preserve"> </w:t>
      </w:r>
      <w:r w:rsidR="00787094" w:rsidRPr="00787094">
        <w:rPr>
          <w:rFonts w:ascii="Arial" w:hAnsi="Arial" w:cs="Arial"/>
          <w:sz w:val="20"/>
          <w:szCs w:val="20"/>
          <w:lang w:val="fr-FR"/>
        </w:rPr>
        <w:t>PDG / DG / Gérant</w:t>
      </w:r>
      <w:r w:rsidR="00BC6151" w:rsidRPr="00787094">
        <w:rPr>
          <w:rFonts w:ascii="Arial" w:hAnsi="Arial" w:cs="Arial"/>
          <w:sz w:val="20"/>
          <w:szCs w:val="20"/>
          <w:lang w:val="fr-FR"/>
        </w:rPr>
        <w:t xml:space="preserve"> (29%), </w:t>
      </w:r>
      <w:r w:rsidRPr="00787094">
        <w:rPr>
          <w:rFonts w:ascii="Arial" w:hAnsi="Arial" w:cs="Arial"/>
          <w:sz w:val="20"/>
          <w:szCs w:val="20"/>
          <w:lang w:val="fr-FR"/>
        </w:rPr>
        <w:t>responsable technique</w:t>
      </w:r>
      <w:r w:rsidR="00BC6151" w:rsidRPr="00787094">
        <w:rPr>
          <w:rFonts w:ascii="Arial" w:hAnsi="Arial" w:cs="Arial"/>
          <w:sz w:val="20"/>
          <w:szCs w:val="20"/>
          <w:lang w:val="fr-FR"/>
        </w:rPr>
        <w:t xml:space="preserve"> (14</w:t>
      </w:r>
      <w:r w:rsidR="00BC1C2D" w:rsidRPr="00787094">
        <w:rPr>
          <w:rFonts w:ascii="Arial" w:hAnsi="Arial" w:cs="Arial"/>
          <w:sz w:val="20"/>
          <w:szCs w:val="20"/>
          <w:lang w:val="fr-FR"/>
        </w:rPr>
        <w:t xml:space="preserve">%), </w:t>
      </w:r>
      <w:r w:rsidR="00787094" w:rsidRPr="00787094">
        <w:rPr>
          <w:rFonts w:ascii="Arial" w:hAnsi="Arial" w:cs="Arial"/>
          <w:sz w:val="20"/>
          <w:szCs w:val="20"/>
          <w:lang w:val="fr-FR"/>
        </w:rPr>
        <w:t>ingénieur systèmes &amp; maintenance</w:t>
      </w:r>
      <w:r w:rsidR="00BC6151" w:rsidRPr="00787094">
        <w:rPr>
          <w:rFonts w:ascii="Arial" w:hAnsi="Arial" w:cs="Arial"/>
          <w:sz w:val="20"/>
          <w:szCs w:val="20"/>
          <w:lang w:val="fr-FR"/>
        </w:rPr>
        <w:t xml:space="preserve"> (13), </w:t>
      </w:r>
      <w:r w:rsidR="00787094" w:rsidRPr="00787094">
        <w:rPr>
          <w:rFonts w:ascii="Arial" w:hAnsi="Arial" w:cs="Arial"/>
          <w:sz w:val="20"/>
          <w:szCs w:val="20"/>
          <w:lang w:val="fr-FR"/>
        </w:rPr>
        <w:t xml:space="preserve">directeur commercial / marketing </w:t>
      </w:r>
      <w:r w:rsidR="00BC6151" w:rsidRPr="00787094">
        <w:rPr>
          <w:rFonts w:ascii="Arial" w:hAnsi="Arial" w:cs="Arial"/>
          <w:sz w:val="20"/>
          <w:szCs w:val="20"/>
          <w:lang w:val="fr-FR"/>
        </w:rPr>
        <w:t>(12</w:t>
      </w:r>
      <w:r w:rsidR="00BC1C2D" w:rsidRPr="00787094">
        <w:rPr>
          <w:rFonts w:ascii="Arial" w:hAnsi="Arial" w:cs="Arial"/>
          <w:sz w:val="20"/>
          <w:szCs w:val="20"/>
          <w:lang w:val="fr-FR"/>
        </w:rPr>
        <w:t>%),</w:t>
      </w:r>
      <w:r w:rsidR="00BC6151" w:rsidRPr="00787094">
        <w:rPr>
          <w:rFonts w:ascii="Arial" w:hAnsi="Arial" w:cs="Arial"/>
          <w:sz w:val="20"/>
          <w:szCs w:val="20"/>
          <w:lang w:val="fr-FR"/>
        </w:rPr>
        <w:t xml:space="preserve"> </w:t>
      </w:r>
      <w:r w:rsidR="00787094">
        <w:rPr>
          <w:rFonts w:ascii="Arial" w:hAnsi="Arial" w:cs="Arial"/>
          <w:sz w:val="20"/>
          <w:szCs w:val="20"/>
          <w:lang w:val="fr-FR"/>
        </w:rPr>
        <w:t>c</w:t>
      </w:r>
      <w:r w:rsidR="00787094" w:rsidRPr="00787094">
        <w:rPr>
          <w:rFonts w:ascii="Arial" w:hAnsi="Arial" w:cs="Arial"/>
          <w:sz w:val="20"/>
          <w:szCs w:val="20"/>
          <w:lang w:val="fr-FR"/>
        </w:rPr>
        <w:t xml:space="preserve">hef de projet </w:t>
      </w:r>
      <w:r w:rsidR="00BC6151" w:rsidRPr="00787094">
        <w:rPr>
          <w:rFonts w:ascii="Arial" w:hAnsi="Arial" w:cs="Arial"/>
          <w:sz w:val="20"/>
          <w:szCs w:val="20"/>
          <w:lang w:val="fr-FR"/>
        </w:rPr>
        <w:t>(11%),</w:t>
      </w:r>
      <w:r w:rsidR="00787094">
        <w:rPr>
          <w:rFonts w:ascii="Arial" w:hAnsi="Arial" w:cs="Arial"/>
          <w:sz w:val="20"/>
          <w:szCs w:val="20"/>
          <w:lang w:val="fr-FR"/>
        </w:rPr>
        <w:t xml:space="preserve"> consultant (6%), étudiant</w:t>
      </w:r>
      <w:r w:rsidR="00BC6151" w:rsidRPr="00787094">
        <w:rPr>
          <w:rFonts w:ascii="Arial" w:hAnsi="Arial" w:cs="Arial"/>
          <w:sz w:val="20"/>
          <w:szCs w:val="20"/>
          <w:lang w:val="fr-FR"/>
        </w:rPr>
        <w:t xml:space="preserve"> (5%),</w:t>
      </w:r>
      <w:r w:rsidR="00BC1C2D" w:rsidRPr="00787094">
        <w:rPr>
          <w:rFonts w:ascii="Arial" w:hAnsi="Arial" w:cs="Arial"/>
          <w:sz w:val="20"/>
          <w:szCs w:val="20"/>
          <w:lang w:val="fr-FR"/>
        </w:rPr>
        <w:t xml:space="preserve"> </w:t>
      </w:r>
      <w:r w:rsidR="00787094">
        <w:rPr>
          <w:rFonts w:ascii="Arial" w:hAnsi="Arial" w:cs="Arial"/>
          <w:sz w:val="20"/>
          <w:szCs w:val="20"/>
          <w:lang w:val="fr-FR"/>
        </w:rPr>
        <w:t>di</w:t>
      </w:r>
      <w:r w:rsidR="00BC6151" w:rsidRPr="00787094">
        <w:rPr>
          <w:rFonts w:ascii="Arial" w:hAnsi="Arial" w:cs="Arial"/>
          <w:sz w:val="20"/>
          <w:szCs w:val="20"/>
          <w:lang w:val="fr-FR"/>
        </w:rPr>
        <w:t>rect</w:t>
      </w:r>
      <w:r w:rsidR="00787094">
        <w:rPr>
          <w:rFonts w:ascii="Arial" w:hAnsi="Arial" w:cs="Arial"/>
          <w:sz w:val="20"/>
          <w:szCs w:val="20"/>
          <w:lang w:val="fr-FR"/>
        </w:rPr>
        <w:t>eu</w:t>
      </w:r>
      <w:r w:rsidR="00BC6151" w:rsidRPr="00787094">
        <w:rPr>
          <w:rFonts w:ascii="Arial" w:hAnsi="Arial" w:cs="Arial"/>
          <w:sz w:val="20"/>
          <w:szCs w:val="20"/>
          <w:lang w:val="fr-FR"/>
        </w:rPr>
        <w:t>r</w:t>
      </w:r>
      <w:r w:rsidR="00787094">
        <w:rPr>
          <w:rFonts w:ascii="Arial" w:hAnsi="Arial" w:cs="Arial"/>
          <w:sz w:val="20"/>
          <w:szCs w:val="20"/>
          <w:lang w:val="fr-FR"/>
        </w:rPr>
        <w:t xml:space="preserve"> des achats</w:t>
      </w:r>
      <w:r w:rsidR="00BC6151" w:rsidRPr="00787094">
        <w:rPr>
          <w:rFonts w:ascii="Arial" w:hAnsi="Arial" w:cs="Arial"/>
          <w:sz w:val="20"/>
          <w:szCs w:val="20"/>
          <w:lang w:val="fr-FR"/>
        </w:rPr>
        <w:t xml:space="preserve"> (3</w:t>
      </w:r>
      <w:r w:rsidR="00BC1C2D" w:rsidRPr="00787094">
        <w:rPr>
          <w:rFonts w:ascii="Arial" w:hAnsi="Arial" w:cs="Arial"/>
          <w:sz w:val="20"/>
          <w:szCs w:val="20"/>
          <w:lang w:val="fr-FR"/>
        </w:rPr>
        <w:t xml:space="preserve">%), </w:t>
      </w:r>
      <w:r w:rsidR="00787094">
        <w:rPr>
          <w:rFonts w:ascii="Arial" w:hAnsi="Arial" w:cs="Arial"/>
          <w:sz w:val="20"/>
          <w:szCs w:val="20"/>
          <w:lang w:val="fr-FR"/>
        </w:rPr>
        <w:t>enseignant</w:t>
      </w:r>
      <w:r w:rsidR="00BC1C2D" w:rsidRPr="00787094">
        <w:rPr>
          <w:rFonts w:ascii="Arial" w:hAnsi="Arial" w:cs="Arial"/>
          <w:sz w:val="20"/>
          <w:szCs w:val="20"/>
          <w:lang w:val="fr-FR"/>
        </w:rPr>
        <w:t xml:space="preserve"> (2%),</w:t>
      </w:r>
      <w:r w:rsidR="00BC6151" w:rsidRPr="00787094">
        <w:rPr>
          <w:rFonts w:ascii="Arial" w:hAnsi="Arial" w:cs="Arial"/>
          <w:sz w:val="20"/>
          <w:szCs w:val="20"/>
          <w:lang w:val="fr-FR"/>
        </w:rPr>
        <w:t xml:space="preserve"> </w:t>
      </w:r>
      <w:r w:rsidR="00787094">
        <w:rPr>
          <w:rFonts w:ascii="Arial" w:hAnsi="Arial" w:cs="Arial"/>
          <w:sz w:val="20"/>
          <w:szCs w:val="20"/>
          <w:lang w:val="fr-FR"/>
        </w:rPr>
        <w:t>responsable financier</w:t>
      </w:r>
      <w:r w:rsidR="00E55B67" w:rsidRPr="00787094">
        <w:rPr>
          <w:rFonts w:ascii="Arial" w:hAnsi="Arial" w:cs="Arial"/>
          <w:sz w:val="20"/>
          <w:szCs w:val="20"/>
          <w:lang w:val="fr-FR"/>
        </w:rPr>
        <w:t xml:space="preserve"> (2%), </w:t>
      </w:r>
      <w:r w:rsidR="00787094">
        <w:rPr>
          <w:rFonts w:ascii="Arial" w:hAnsi="Arial" w:cs="Arial"/>
          <w:sz w:val="20"/>
          <w:szCs w:val="20"/>
          <w:lang w:val="fr-FR"/>
        </w:rPr>
        <w:t>r</w:t>
      </w:r>
      <w:r w:rsidR="00787094" w:rsidRPr="00787094">
        <w:rPr>
          <w:rFonts w:ascii="Arial" w:hAnsi="Arial" w:cs="Arial"/>
          <w:sz w:val="20"/>
          <w:szCs w:val="20"/>
          <w:lang w:val="fr-FR"/>
        </w:rPr>
        <w:t>esponsable production inform</w:t>
      </w:r>
      <w:r w:rsidR="00CE11E5">
        <w:rPr>
          <w:rFonts w:ascii="Arial" w:hAnsi="Arial" w:cs="Arial"/>
          <w:sz w:val="20"/>
          <w:szCs w:val="20"/>
          <w:lang w:val="fr-FR"/>
        </w:rPr>
        <w:t>atique</w:t>
      </w:r>
      <w:r w:rsidR="00787094" w:rsidRPr="00787094">
        <w:rPr>
          <w:rFonts w:ascii="Arial" w:hAnsi="Arial" w:cs="Arial"/>
          <w:sz w:val="20"/>
          <w:szCs w:val="20"/>
          <w:lang w:val="fr-FR"/>
        </w:rPr>
        <w:t xml:space="preserve"> </w:t>
      </w:r>
      <w:r w:rsidR="00E55B67" w:rsidRPr="00787094">
        <w:rPr>
          <w:rFonts w:ascii="Arial" w:hAnsi="Arial" w:cs="Arial"/>
          <w:sz w:val="20"/>
          <w:szCs w:val="20"/>
          <w:lang w:val="fr-FR"/>
        </w:rPr>
        <w:t>(2</w:t>
      </w:r>
      <w:r w:rsidR="00BC1C2D" w:rsidRPr="00787094">
        <w:rPr>
          <w:rFonts w:ascii="Arial" w:hAnsi="Arial" w:cs="Arial"/>
          <w:sz w:val="20"/>
          <w:szCs w:val="20"/>
          <w:lang w:val="fr-FR"/>
        </w:rPr>
        <w:t xml:space="preserve">%) and </w:t>
      </w:r>
      <w:r w:rsidR="00787094" w:rsidRPr="00787094">
        <w:rPr>
          <w:rFonts w:ascii="Arial" w:hAnsi="Arial" w:cs="Arial"/>
          <w:sz w:val="20"/>
          <w:szCs w:val="20"/>
          <w:lang w:val="fr-FR"/>
        </w:rPr>
        <w:t xml:space="preserve">Directeur informatique </w:t>
      </w:r>
      <w:r w:rsidR="00BC1C2D" w:rsidRPr="00787094">
        <w:rPr>
          <w:rFonts w:ascii="Arial" w:hAnsi="Arial" w:cs="Arial"/>
          <w:sz w:val="20"/>
          <w:szCs w:val="20"/>
          <w:lang w:val="fr-FR"/>
        </w:rPr>
        <w:t xml:space="preserve">(1%). </w:t>
      </w:r>
    </w:p>
    <w:p w:rsidR="009A4A2A" w:rsidRDefault="009A4A2A" w:rsidP="00C909B1">
      <w:pPr>
        <w:tabs>
          <w:tab w:val="left" w:pos="1335"/>
          <w:tab w:val="left" w:pos="5940"/>
        </w:tabs>
        <w:spacing w:line="276" w:lineRule="auto"/>
        <w:jc w:val="both"/>
        <w:rPr>
          <w:rFonts w:ascii="Arial" w:hAnsi="Arial" w:cs="Arial"/>
          <w:b/>
          <w:color w:val="000000"/>
          <w:sz w:val="20"/>
          <w:szCs w:val="20"/>
          <w:lang w:val="en-US"/>
        </w:rPr>
      </w:pPr>
      <w:bookmarkStart w:id="0" w:name="_GoBack"/>
      <w:r>
        <w:rPr>
          <w:noProof/>
          <w:lang w:val="en-GB" w:eastAsia="en-GB"/>
        </w:rPr>
        <w:drawing>
          <wp:inline distT="0" distB="0" distL="0" distR="0" wp14:anchorId="324B7275" wp14:editId="33DFD71E">
            <wp:extent cx="5773480" cy="2998381"/>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0"/>
    </w:p>
    <w:p w:rsidR="009A4A2A" w:rsidRDefault="009A4A2A" w:rsidP="00C909B1">
      <w:pPr>
        <w:tabs>
          <w:tab w:val="left" w:pos="1335"/>
          <w:tab w:val="left" w:pos="5940"/>
        </w:tabs>
        <w:spacing w:line="276" w:lineRule="auto"/>
        <w:jc w:val="both"/>
        <w:rPr>
          <w:rFonts w:ascii="Arial" w:hAnsi="Arial" w:cs="Arial"/>
          <w:b/>
          <w:color w:val="000000"/>
          <w:sz w:val="20"/>
          <w:szCs w:val="20"/>
          <w:lang w:val="en-US"/>
        </w:rPr>
      </w:pPr>
    </w:p>
    <w:p w:rsidR="0026131E" w:rsidRDefault="00CE11E5" w:rsidP="00BF31CB">
      <w:pPr>
        <w:spacing w:line="276" w:lineRule="auto"/>
        <w:ind w:right="-284"/>
        <w:rPr>
          <w:rFonts w:ascii="Arial" w:hAnsi="Arial" w:cs="Arial"/>
          <w:b/>
          <w:color w:val="000000"/>
          <w:sz w:val="20"/>
          <w:szCs w:val="20"/>
          <w:lang w:val="en-US"/>
        </w:rPr>
      </w:pPr>
      <w:proofErr w:type="spellStart"/>
      <w:r w:rsidRPr="00CE11E5">
        <w:rPr>
          <w:rFonts w:ascii="Arial" w:hAnsi="Arial" w:cs="Arial"/>
          <w:b/>
          <w:color w:val="000000"/>
          <w:sz w:val="20"/>
          <w:szCs w:val="20"/>
          <w:lang w:val="en-US"/>
        </w:rPr>
        <w:t>Visiteurs</w:t>
      </w:r>
      <w:proofErr w:type="spellEnd"/>
      <w:r w:rsidRPr="00CE11E5">
        <w:rPr>
          <w:rFonts w:ascii="Arial" w:hAnsi="Arial" w:cs="Arial"/>
          <w:b/>
          <w:color w:val="000000"/>
          <w:sz w:val="20"/>
          <w:szCs w:val="20"/>
          <w:lang w:val="en-US"/>
        </w:rPr>
        <w:t xml:space="preserve"> par </w:t>
      </w:r>
      <w:proofErr w:type="spellStart"/>
      <w:r w:rsidRPr="00CE11E5">
        <w:rPr>
          <w:rFonts w:ascii="Arial" w:hAnsi="Arial" w:cs="Arial"/>
          <w:b/>
          <w:color w:val="000000"/>
          <w:sz w:val="20"/>
          <w:szCs w:val="20"/>
          <w:lang w:val="en-US"/>
        </w:rPr>
        <w:t>secteur</w:t>
      </w:r>
      <w:proofErr w:type="spellEnd"/>
      <w:r w:rsidRPr="00CE11E5">
        <w:rPr>
          <w:rFonts w:ascii="Arial" w:hAnsi="Arial" w:cs="Arial"/>
          <w:b/>
          <w:color w:val="000000"/>
          <w:sz w:val="20"/>
          <w:szCs w:val="20"/>
          <w:lang w:val="en-US"/>
        </w:rPr>
        <w:t xml:space="preserve"> </w:t>
      </w:r>
      <w:proofErr w:type="spellStart"/>
      <w:proofErr w:type="gramStart"/>
      <w:r w:rsidRPr="00CE11E5">
        <w:rPr>
          <w:rFonts w:ascii="Arial" w:hAnsi="Arial" w:cs="Arial"/>
          <w:b/>
          <w:color w:val="000000"/>
          <w:sz w:val="20"/>
          <w:szCs w:val="20"/>
          <w:lang w:val="en-US"/>
        </w:rPr>
        <w:t>activité</w:t>
      </w:r>
      <w:proofErr w:type="spellEnd"/>
      <w:r w:rsidRPr="00CE11E5">
        <w:rPr>
          <w:rFonts w:ascii="Arial" w:hAnsi="Arial" w:cs="Arial"/>
          <w:b/>
          <w:color w:val="000000"/>
          <w:sz w:val="20"/>
          <w:szCs w:val="20"/>
          <w:lang w:val="en-US"/>
        </w:rPr>
        <w:t xml:space="preserve"> :</w:t>
      </w:r>
      <w:proofErr w:type="gramEnd"/>
    </w:p>
    <w:p w:rsidR="00F04971" w:rsidRDefault="00F04971" w:rsidP="00BF31CB">
      <w:pPr>
        <w:spacing w:line="276" w:lineRule="auto"/>
        <w:ind w:right="-284"/>
        <w:rPr>
          <w:rFonts w:ascii="Arial" w:hAnsi="Arial" w:cs="Arial"/>
          <w:b/>
          <w:lang w:val="en-US"/>
        </w:rPr>
      </w:pPr>
      <w:r>
        <w:rPr>
          <w:noProof/>
          <w:lang w:val="en-GB" w:eastAsia="en-GB"/>
        </w:rPr>
        <w:drawing>
          <wp:inline distT="0" distB="0" distL="0" distR="0" wp14:anchorId="558741BA" wp14:editId="04FFF228">
            <wp:extent cx="6411433" cy="2700669"/>
            <wp:effectExtent l="0" t="0" r="8890" b="4445"/>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7935" w:rsidRPr="00F82955" w:rsidRDefault="00F04971" w:rsidP="00BF31CB">
      <w:pPr>
        <w:spacing w:line="276" w:lineRule="auto"/>
        <w:ind w:right="-284"/>
        <w:rPr>
          <w:rFonts w:ascii="Arial" w:hAnsi="Arial" w:cs="Arial"/>
          <w:b/>
          <w:lang w:val="fr-FR"/>
        </w:rPr>
      </w:pPr>
      <w:r w:rsidRPr="00F82955">
        <w:rPr>
          <w:rFonts w:ascii="Arial" w:hAnsi="Arial" w:cs="Arial"/>
          <w:b/>
          <w:color w:val="000000"/>
          <w:sz w:val="20"/>
          <w:szCs w:val="20"/>
          <w:lang w:val="fr-FR"/>
        </w:rPr>
        <w:lastRenderedPageBreak/>
        <w:t>Secteurs d'intérêt des visiteurs :</w:t>
      </w:r>
      <w:r w:rsidR="00CE11E5">
        <w:rPr>
          <w:noProof/>
          <w:lang w:val="en-GB" w:eastAsia="en-GB"/>
        </w:rPr>
        <w:drawing>
          <wp:inline distT="0" distB="0" distL="0" distR="0" wp14:anchorId="3272F712" wp14:editId="7FFAD604">
            <wp:extent cx="5975498" cy="7889358"/>
            <wp:effectExtent l="0" t="0" r="6350" b="0"/>
            <wp:docPr id="21"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6958" w:rsidRDefault="00F82955" w:rsidP="00BC1C2D">
      <w:pPr>
        <w:spacing w:line="276" w:lineRule="auto"/>
        <w:rPr>
          <w:rFonts w:ascii="Arial" w:hAnsi="Arial" w:cs="Arial"/>
          <w:b/>
          <w:lang w:val="fr-FR"/>
        </w:rPr>
      </w:pPr>
      <w:r w:rsidRPr="00F82955">
        <w:rPr>
          <w:rFonts w:ascii="Arial" w:hAnsi="Arial" w:cs="Arial"/>
          <w:b/>
          <w:lang w:val="fr-FR"/>
        </w:rPr>
        <w:lastRenderedPageBreak/>
        <w:t xml:space="preserve">Evaluation de l’enquête </w:t>
      </w:r>
      <w:r w:rsidRPr="00F82955">
        <w:rPr>
          <w:rFonts w:ascii="Arial" w:hAnsi="Arial" w:cs="Arial"/>
          <w:b/>
          <w:u w:val="single"/>
          <w:lang w:val="fr-FR"/>
        </w:rPr>
        <w:t>exposants</w:t>
      </w:r>
    </w:p>
    <w:p w:rsidR="00F82955" w:rsidRPr="00F82955" w:rsidRDefault="00F82955" w:rsidP="00BC1C2D">
      <w:pPr>
        <w:spacing w:line="276" w:lineRule="auto"/>
        <w:rPr>
          <w:rFonts w:ascii="Arial" w:hAnsi="Arial" w:cs="Arial"/>
          <w:b/>
          <w:lang w:val="fr-FR"/>
        </w:rPr>
      </w:pPr>
    </w:p>
    <w:p w:rsidR="00FB4F50" w:rsidRDefault="00F82955" w:rsidP="00BC1C2D">
      <w:pPr>
        <w:spacing w:line="276" w:lineRule="auto"/>
        <w:rPr>
          <w:rFonts w:ascii="Arial" w:hAnsi="Arial" w:cs="Arial"/>
          <w:sz w:val="20"/>
          <w:szCs w:val="20"/>
          <w:lang w:val="fr-FR"/>
        </w:rPr>
      </w:pPr>
      <w:r>
        <w:rPr>
          <w:rFonts w:ascii="Arial" w:hAnsi="Arial" w:cs="Arial"/>
          <w:sz w:val="20"/>
          <w:szCs w:val="20"/>
          <w:lang w:val="fr-FR"/>
        </w:rPr>
        <w:t>Tous les 1</w:t>
      </w:r>
      <w:r w:rsidRPr="00F82955">
        <w:rPr>
          <w:rFonts w:ascii="Arial" w:hAnsi="Arial" w:cs="Arial"/>
          <w:sz w:val="20"/>
          <w:szCs w:val="20"/>
          <w:lang w:val="fr-FR"/>
        </w:rPr>
        <w:t>3</w:t>
      </w:r>
      <w:r>
        <w:rPr>
          <w:rFonts w:ascii="Arial" w:hAnsi="Arial" w:cs="Arial"/>
          <w:sz w:val="20"/>
          <w:szCs w:val="20"/>
          <w:lang w:val="fr-FR"/>
        </w:rPr>
        <w:t>8</w:t>
      </w:r>
      <w:r w:rsidRPr="00F82955">
        <w:rPr>
          <w:rFonts w:ascii="Arial" w:hAnsi="Arial" w:cs="Arial"/>
          <w:sz w:val="20"/>
          <w:szCs w:val="20"/>
          <w:lang w:val="fr-FR"/>
        </w:rPr>
        <w:t xml:space="preserve"> exposants ont été priés de bien vouloir remplir un questionnaire le jour de la clôture de l’événement. L’évaluation suivante est basée sur cette enquête.</w:t>
      </w:r>
    </w:p>
    <w:p w:rsidR="00F82955" w:rsidRPr="00F82955" w:rsidRDefault="00F82955" w:rsidP="00BC1C2D">
      <w:pPr>
        <w:spacing w:line="276" w:lineRule="auto"/>
        <w:rPr>
          <w:rFonts w:ascii="Arial" w:hAnsi="Arial" w:cs="Arial"/>
          <w:b/>
          <w:sz w:val="20"/>
          <w:szCs w:val="20"/>
          <w:lang w:val="fr-FR"/>
        </w:rPr>
      </w:pPr>
    </w:p>
    <w:tbl>
      <w:tblPr>
        <w:tblStyle w:val="Tabellenraster"/>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624"/>
      </w:tblGrid>
      <w:tr w:rsidR="00824BA8" w:rsidRPr="00EA77A9" w:rsidTr="00824BA8">
        <w:trPr>
          <w:trHeight w:val="4102"/>
        </w:trPr>
        <w:tc>
          <w:tcPr>
            <w:tcW w:w="4734" w:type="dxa"/>
          </w:tcPr>
          <w:p w:rsidR="00824BA8" w:rsidRPr="008704FC" w:rsidRDefault="008704FC" w:rsidP="008704FC">
            <w:pPr>
              <w:pStyle w:val="Listenabsatz"/>
              <w:numPr>
                <w:ilvl w:val="0"/>
                <w:numId w:val="4"/>
              </w:numPr>
              <w:spacing w:line="276" w:lineRule="auto"/>
              <w:rPr>
                <w:rFonts w:ascii="Arial" w:hAnsi="Arial" w:cs="Arial"/>
                <w:color w:val="000000"/>
                <w:sz w:val="20"/>
                <w:szCs w:val="20"/>
                <w:lang w:val="fr-FR"/>
              </w:rPr>
            </w:pPr>
            <w:r w:rsidRPr="008704FC">
              <w:rPr>
                <w:rFonts w:ascii="Arial" w:hAnsi="Arial" w:cs="Arial"/>
                <w:b/>
                <w:sz w:val="20"/>
                <w:szCs w:val="20"/>
                <w:lang w:val="fr-FR"/>
              </w:rPr>
              <w:t xml:space="preserve">Avec la qualité des entretiens avec les visiteurs </w:t>
            </w:r>
            <w:r>
              <w:rPr>
                <w:rFonts w:ascii="Arial" w:hAnsi="Arial" w:cs="Arial"/>
                <w:b/>
                <w:sz w:val="20"/>
                <w:szCs w:val="20"/>
                <w:lang w:val="fr-FR"/>
              </w:rPr>
              <w:t>les exposant sommes…</w:t>
            </w:r>
            <w:r w:rsidR="00824BA8">
              <w:rPr>
                <w:noProof/>
                <w:lang w:val="en-GB" w:eastAsia="en-GB"/>
              </w:rPr>
              <w:drawing>
                <wp:inline distT="0" distB="0" distL="0" distR="0" wp14:anchorId="37DDDB36" wp14:editId="552F6841">
                  <wp:extent cx="3125973" cy="2743200"/>
                  <wp:effectExtent l="0" t="0" r="0" b="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24" w:type="dxa"/>
          </w:tcPr>
          <w:p w:rsidR="00824BA8" w:rsidRPr="0003585E" w:rsidRDefault="0003585E" w:rsidP="0003585E">
            <w:pPr>
              <w:pStyle w:val="Listenabsatz"/>
              <w:numPr>
                <w:ilvl w:val="0"/>
                <w:numId w:val="4"/>
              </w:numPr>
              <w:tabs>
                <w:tab w:val="left" w:pos="4281"/>
              </w:tabs>
              <w:spacing w:line="276" w:lineRule="auto"/>
              <w:jc w:val="both"/>
              <w:rPr>
                <w:rFonts w:ascii="Arial" w:hAnsi="Arial" w:cs="Arial"/>
                <w:color w:val="000000"/>
                <w:sz w:val="20"/>
                <w:szCs w:val="20"/>
                <w:lang w:val="fr-FR"/>
              </w:rPr>
            </w:pPr>
            <w:r w:rsidRPr="0003585E">
              <w:rPr>
                <w:rFonts w:ascii="Arial" w:hAnsi="Arial" w:cs="Arial"/>
                <w:b/>
                <w:bCs/>
                <w:sz w:val="20"/>
                <w:szCs w:val="20"/>
                <w:lang w:val="fr-FR"/>
              </w:rPr>
              <w:t>Pouvez-vous recommander les salons elec expo / EneR Event ?</w:t>
            </w:r>
            <w:r w:rsidR="00824BA8">
              <w:rPr>
                <w:noProof/>
                <w:lang w:val="en-GB" w:eastAsia="en-GB"/>
              </w:rPr>
              <w:drawing>
                <wp:anchor distT="0" distB="0" distL="114300" distR="114300" simplePos="0" relativeHeight="251658240" behindDoc="1" locked="0" layoutInCell="1" allowOverlap="1" wp14:anchorId="16BF63F3" wp14:editId="476A2F0E">
                  <wp:simplePos x="0" y="0"/>
                  <wp:positionH relativeFrom="column">
                    <wp:posOffset>410845</wp:posOffset>
                  </wp:positionH>
                  <wp:positionV relativeFrom="paragraph">
                    <wp:posOffset>508000</wp:posOffset>
                  </wp:positionV>
                  <wp:extent cx="3051175" cy="2743200"/>
                  <wp:effectExtent l="0" t="0" r="0" b="0"/>
                  <wp:wrapTight wrapText="bothSides">
                    <wp:wrapPolygon edited="0">
                      <wp:start x="9440" y="450"/>
                      <wp:lineTo x="8361" y="900"/>
                      <wp:lineTo x="4990" y="2700"/>
                      <wp:lineTo x="4181" y="4500"/>
                      <wp:lineTo x="3506" y="5550"/>
                      <wp:lineTo x="2832" y="7950"/>
                      <wp:lineTo x="2832" y="10350"/>
                      <wp:lineTo x="3506" y="12750"/>
                      <wp:lineTo x="4855" y="15150"/>
                      <wp:lineTo x="4990" y="15600"/>
                      <wp:lineTo x="8226" y="17550"/>
                      <wp:lineTo x="9845" y="18000"/>
                      <wp:lineTo x="11598" y="18000"/>
                      <wp:lineTo x="13216" y="17550"/>
                      <wp:lineTo x="16588" y="15450"/>
                      <wp:lineTo x="17936" y="12750"/>
                      <wp:lineTo x="18611" y="10350"/>
                      <wp:lineTo x="18611" y="7950"/>
                      <wp:lineTo x="17936" y="5550"/>
                      <wp:lineTo x="16588" y="3300"/>
                      <wp:lineTo x="16453" y="2700"/>
                      <wp:lineTo x="13081" y="900"/>
                      <wp:lineTo x="12002" y="450"/>
                      <wp:lineTo x="9440" y="450"/>
                    </wp:wrapPolygon>
                  </wp:wrapTight>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r>
    </w:tbl>
    <w:p w:rsidR="008704FC" w:rsidRDefault="008704FC" w:rsidP="008704FC">
      <w:pPr>
        <w:rPr>
          <w:rFonts w:ascii="Arial" w:hAnsi="Arial" w:cs="Arial"/>
          <w:b/>
          <w:sz w:val="20"/>
          <w:szCs w:val="20"/>
          <w:lang w:val="en-US"/>
        </w:rPr>
      </w:pPr>
      <w:proofErr w:type="spellStart"/>
      <w:r w:rsidRPr="008704FC">
        <w:rPr>
          <w:rFonts w:ascii="Arial" w:hAnsi="Arial" w:cs="Arial"/>
          <w:b/>
          <w:sz w:val="20"/>
          <w:szCs w:val="20"/>
          <w:lang w:val="en-US"/>
        </w:rPr>
        <w:t>Réalisation</w:t>
      </w:r>
      <w:proofErr w:type="spellEnd"/>
      <w:r w:rsidRPr="008704FC">
        <w:rPr>
          <w:rFonts w:ascii="Arial" w:hAnsi="Arial" w:cs="Arial"/>
          <w:b/>
          <w:sz w:val="20"/>
          <w:szCs w:val="20"/>
          <w:lang w:val="en-US"/>
        </w:rPr>
        <w:t xml:space="preserve"> des </w:t>
      </w:r>
      <w:proofErr w:type="spellStart"/>
      <w:r w:rsidRPr="008704FC">
        <w:rPr>
          <w:rFonts w:ascii="Arial" w:hAnsi="Arial" w:cs="Arial"/>
          <w:b/>
          <w:sz w:val="20"/>
          <w:szCs w:val="20"/>
          <w:lang w:val="en-US"/>
        </w:rPr>
        <w:t>objectifs</w:t>
      </w:r>
      <w:proofErr w:type="spellEnd"/>
      <w:r w:rsidRPr="008704FC">
        <w:rPr>
          <w:rFonts w:ascii="Arial" w:hAnsi="Arial" w:cs="Arial"/>
          <w:b/>
          <w:sz w:val="20"/>
          <w:szCs w:val="20"/>
          <w:lang w:val="en-US"/>
        </w:rPr>
        <w:t xml:space="preserve"> </w:t>
      </w:r>
      <w:proofErr w:type="spellStart"/>
      <w:proofErr w:type="gramStart"/>
      <w:r w:rsidRPr="008704FC">
        <w:rPr>
          <w:rFonts w:ascii="Arial" w:hAnsi="Arial" w:cs="Arial"/>
          <w:b/>
          <w:sz w:val="20"/>
          <w:szCs w:val="20"/>
          <w:lang w:val="en-US"/>
        </w:rPr>
        <w:t>envisagés</w:t>
      </w:r>
      <w:proofErr w:type="spellEnd"/>
      <w:r w:rsidRPr="008704FC">
        <w:rPr>
          <w:rFonts w:ascii="Arial" w:hAnsi="Arial" w:cs="Arial"/>
          <w:b/>
          <w:sz w:val="20"/>
          <w:szCs w:val="20"/>
          <w:lang w:val="en-US"/>
        </w:rPr>
        <w:t xml:space="preserve"> :</w:t>
      </w:r>
      <w:proofErr w:type="gramEnd"/>
    </w:p>
    <w:p w:rsidR="002A436F" w:rsidRPr="008704FC" w:rsidRDefault="002A436F" w:rsidP="008704FC">
      <w:pPr>
        <w:rPr>
          <w:rFonts w:ascii="Arial" w:hAnsi="Arial" w:cs="Arial"/>
          <w:b/>
          <w:sz w:val="20"/>
          <w:szCs w:val="20"/>
          <w:lang w:val="en-US"/>
        </w:rPr>
      </w:pPr>
    </w:p>
    <w:p w:rsidR="00280820" w:rsidRPr="00BF31CB" w:rsidRDefault="002A436F" w:rsidP="002A436F">
      <w:pPr>
        <w:pStyle w:val="Listenabsatz"/>
        <w:spacing w:line="276" w:lineRule="auto"/>
        <w:ind w:left="567"/>
        <w:jc w:val="center"/>
        <w:rPr>
          <w:rFonts w:ascii="Arial" w:hAnsi="Arial" w:cs="Arial"/>
          <w:b/>
          <w:bCs/>
          <w:sz w:val="20"/>
          <w:szCs w:val="20"/>
          <w:lang w:val="en-US"/>
        </w:rPr>
      </w:pPr>
      <w:r w:rsidRPr="002A436F">
        <w:rPr>
          <w:noProof/>
          <w:shd w:val="clear" w:color="auto" w:fill="31849B" w:themeFill="accent5" w:themeFillShade="BF"/>
          <w:lang w:val="en-GB" w:eastAsia="en-GB"/>
        </w:rPr>
        <w:drawing>
          <wp:anchor distT="0" distB="0" distL="114300" distR="114300" simplePos="0" relativeHeight="251659264" behindDoc="1" locked="0" layoutInCell="1" allowOverlap="1">
            <wp:simplePos x="0" y="0"/>
            <wp:positionH relativeFrom="column">
              <wp:posOffset>-462915</wp:posOffset>
            </wp:positionH>
            <wp:positionV relativeFrom="paragraph">
              <wp:posOffset>-2540</wp:posOffset>
            </wp:positionV>
            <wp:extent cx="6453505" cy="3540125"/>
            <wp:effectExtent l="0" t="0" r="0" b="0"/>
            <wp:wrapTight wrapText="bothSides">
              <wp:wrapPolygon edited="0">
                <wp:start x="9118" y="814"/>
                <wp:lineTo x="8353" y="1046"/>
                <wp:lineTo x="8416" y="1627"/>
                <wp:lineTo x="10776" y="2906"/>
                <wp:lineTo x="2040" y="3719"/>
                <wp:lineTo x="2040" y="4301"/>
                <wp:lineTo x="9564" y="4766"/>
                <wp:lineTo x="3762" y="5114"/>
                <wp:lineTo x="1148" y="5695"/>
                <wp:lineTo x="1148" y="6625"/>
                <wp:lineTo x="1466" y="8485"/>
                <wp:lineTo x="1466" y="9996"/>
                <wp:lineTo x="3188" y="10345"/>
                <wp:lineTo x="9564" y="10345"/>
                <wp:lineTo x="1148" y="10926"/>
                <wp:lineTo x="1148" y="11507"/>
                <wp:lineTo x="9628" y="12204"/>
                <wp:lineTo x="4208" y="12204"/>
                <wp:lineTo x="2104" y="12669"/>
                <wp:lineTo x="1913" y="15691"/>
                <wp:lineTo x="3061" y="15924"/>
                <wp:lineTo x="9564" y="15924"/>
                <wp:lineTo x="2359" y="16505"/>
                <wp:lineTo x="2359" y="17086"/>
                <wp:lineTo x="10776" y="17784"/>
                <wp:lineTo x="4463" y="17900"/>
                <wp:lineTo x="3252" y="18132"/>
                <wp:lineTo x="3252" y="19992"/>
                <wp:lineTo x="6631" y="20341"/>
                <wp:lineTo x="9564" y="20573"/>
                <wp:lineTo x="19702" y="20573"/>
                <wp:lineTo x="19893" y="17551"/>
                <wp:lineTo x="19957" y="3719"/>
                <wp:lineTo x="19447" y="3603"/>
                <wp:lineTo x="10776" y="2906"/>
                <wp:lineTo x="13326" y="1627"/>
                <wp:lineTo x="13390" y="1046"/>
                <wp:lineTo x="11668" y="814"/>
                <wp:lineTo x="9118" y="814"/>
              </wp:wrapPolygon>
            </wp:wrapTight>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BC57B9" w:rsidRPr="00456C26" w:rsidRDefault="00BC57B9" w:rsidP="002A436F">
      <w:pPr>
        <w:spacing w:line="276" w:lineRule="auto"/>
        <w:rPr>
          <w:rFonts w:ascii="Arial" w:hAnsi="Arial" w:cs="Arial"/>
          <w:sz w:val="18"/>
          <w:szCs w:val="18"/>
          <w:lang w:val="en-GB"/>
        </w:rPr>
      </w:pPr>
    </w:p>
    <w:sectPr w:rsidR="00BC57B9" w:rsidRPr="00456C26" w:rsidSect="00162272">
      <w:headerReference w:type="default" r:id="rId26"/>
      <w:footerReference w:type="default" r:id="rId27"/>
      <w:pgSz w:w="11906" w:h="16838"/>
      <w:pgMar w:top="2410" w:right="1417" w:bottom="993" w:left="1417" w:header="426"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59" w:rsidRDefault="004D0759" w:rsidP="00842A3B">
      <w:r>
        <w:separator/>
      </w:r>
    </w:p>
  </w:endnote>
  <w:endnote w:type="continuationSeparator" w:id="0">
    <w:p w:rsidR="004D0759" w:rsidRDefault="004D0759" w:rsidP="008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6F" w:rsidRPr="00A67A38" w:rsidRDefault="002A436F" w:rsidP="006C08F3">
    <w:pPr>
      <w:pStyle w:val="Fuzeile"/>
      <w:jc w:val="right"/>
      <w:rPr>
        <w:rFonts w:ascii="Arial" w:hAnsi="Arial" w:cs="Arial"/>
      </w:rPr>
    </w:pPr>
    <w:r w:rsidRPr="00A67A38">
      <w:rPr>
        <w:rFonts w:ascii="Arial" w:hAnsi="Arial" w:cs="Arial"/>
        <w:noProof/>
        <w:lang w:val="en-GB" w:eastAsia="en-GB"/>
      </w:rPr>
      <w:drawing>
        <wp:anchor distT="0" distB="0" distL="114300" distR="114300" simplePos="0" relativeHeight="251659264" behindDoc="1" locked="0" layoutInCell="1" allowOverlap="1" wp14:anchorId="46C41B4E" wp14:editId="6C586649">
          <wp:simplePos x="0" y="0"/>
          <wp:positionH relativeFrom="column">
            <wp:posOffset>981710</wp:posOffset>
          </wp:positionH>
          <wp:positionV relativeFrom="paragraph">
            <wp:posOffset>-273050</wp:posOffset>
          </wp:positionV>
          <wp:extent cx="3784600" cy="410845"/>
          <wp:effectExtent l="0" t="0" r="6350" b="8255"/>
          <wp:wrapTight wrapText="bothSides">
            <wp:wrapPolygon edited="0">
              <wp:start x="0" y="0"/>
              <wp:lineTo x="0" y="21032"/>
              <wp:lineTo x="21528" y="21032"/>
              <wp:lineTo x="2152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elec_fairtrade_forum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0" cy="410845"/>
                  </a:xfrm>
                  <a:prstGeom prst="rect">
                    <a:avLst/>
                  </a:prstGeom>
                </pic:spPr>
              </pic:pic>
            </a:graphicData>
          </a:graphic>
          <wp14:sizeRelH relativeFrom="page">
            <wp14:pctWidth>0</wp14:pctWidth>
          </wp14:sizeRelH>
          <wp14:sizeRelV relativeFrom="page">
            <wp14:pctHeight>0</wp14:pctHeight>
          </wp14:sizeRelV>
        </wp:anchor>
      </w:drawing>
    </w:r>
    <w:r w:rsidRPr="00A67A38">
      <w:rPr>
        <w:rFonts w:ascii="Arial" w:hAnsi="Arial" w:cs="Arial"/>
      </w:rPr>
      <w:t>1</w:t>
    </w:r>
    <w:r>
      <w:rPr>
        <w:rFonts w:ascii="Arial" w:hAnsi="Arial" w:cs="Arial"/>
      </w:rPr>
      <w:t>7</w:t>
    </w:r>
    <w:r w:rsidRPr="00A67A38">
      <w:rPr>
        <w:rFonts w:ascii="Arial" w:hAnsi="Arial" w:cs="Arial"/>
      </w:rPr>
      <w:t>.01.2013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59" w:rsidRDefault="004D0759" w:rsidP="00842A3B">
      <w:r>
        <w:separator/>
      </w:r>
    </w:p>
  </w:footnote>
  <w:footnote w:type="continuationSeparator" w:id="0">
    <w:p w:rsidR="004D0759" w:rsidRDefault="004D0759" w:rsidP="0084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6F" w:rsidRDefault="002A436F" w:rsidP="000555AF">
    <w:pPr>
      <w:tabs>
        <w:tab w:val="left" w:pos="1335"/>
      </w:tabs>
      <w:spacing w:line="276" w:lineRule="auto"/>
      <w:jc w:val="center"/>
    </w:pPr>
    <w:r>
      <w:rPr>
        <w:noProof/>
        <w:lang w:val="en-GB" w:eastAsia="en-GB"/>
      </w:rPr>
      <w:drawing>
        <wp:inline distT="0" distB="0" distL="0" distR="0" wp14:anchorId="7EDE2378" wp14:editId="2B03AB01">
          <wp:extent cx="3773796" cy="157770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240" cy="15862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73A8"/>
    <w:multiLevelType w:val="hybridMultilevel"/>
    <w:tmpl w:val="9C6C7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AD56A5"/>
    <w:multiLevelType w:val="hybridMultilevel"/>
    <w:tmpl w:val="9AA64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2357D3"/>
    <w:multiLevelType w:val="hybridMultilevel"/>
    <w:tmpl w:val="772AF75A"/>
    <w:lvl w:ilvl="0" w:tplc="F1922CEA">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44D39"/>
    <w:multiLevelType w:val="hybridMultilevel"/>
    <w:tmpl w:val="F22E618E"/>
    <w:lvl w:ilvl="0" w:tplc="759C5F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3B"/>
    <w:rsid w:val="00003CD1"/>
    <w:rsid w:val="000132B5"/>
    <w:rsid w:val="000243E5"/>
    <w:rsid w:val="0003585E"/>
    <w:rsid w:val="00040D76"/>
    <w:rsid w:val="00047E8C"/>
    <w:rsid w:val="000555AF"/>
    <w:rsid w:val="00056E4F"/>
    <w:rsid w:val="000826A5"/>
    <w:rsid w:val="00082E69"/>
    <w:rsid w:val="00091E32"/>
    <w:rsid w:val="0009417A"/>
    <w:rsid w:val="000B42CF"/>
    <w:rsid w:val="000B4316"/>
    <w:rsid w:val="000C283F"/>
    <w:rsid w:val="000D293B"/>
    <w:rsid w:val="000D43D8"/>
    <w:rsid w:val="00101A6E"/>
    <w:rsid w:val="00110A04"/>
    <w:rsid w:val="00117182"/>
    <w:rsid w:val="001364B8"/>
    <w:rsid w:val="0013765C"/>
    <w:rsid w:val="00137999"/>
    <w:rsid w:val="00144313"/>
    <w:rsid w:val="0014686D"/>
    <w:rsid w:val="00162272"/>
    <w:rsid w:val="00162788"/>
    <w:rsid w:val="00167C65"/>
    <w:rsid w:val="00186451"/>
    <w:rsid w:val="001A2B26"/>
    <w:rsid w:val="001B1C2D"/>
    <w:rsid w:val="001B5905"/>
    <w:rsid w:val="001C567F"/>
    <w:rsid w:val="001E58C7"/>
    <w:rsid w:val="00245D75"/>
    <w:rsid w:val="0026131E"/>
    <w:rsid w:val="00263950"/>
    <w:rsid w:val="00267149"/>
    <w:rsid w:val="00277337"/>
    <w:rsid w:val="00280820"/>
    <w:rsid w:val="002947D4"/>
    <w:rsid w:val="00295833"/>
    <w:rsid w:val="002A436F"/>
    <w:rsid w:val="002C5444"/>
    <w:rsid w:val="002C6FEE"/>
    <w:rsid w:val="002D4F9F"/>
    <w:rsid w:val="002D673E"/>
    <w:rsid w:val="002F4E39"/>
    <w:rsid w:val="002F51E3"/>
    <w:rsid w:val="00314384"/>
    <w:rsid w:val="00315BD4"/>
    <w:rsid w:val="0032090F"/>
    <w:rsid w:val="00322E81"/>
    <w:rsid w:val="00326CC6"/>
    <w:rsid w:val="00340BD9"/>
    <w:rsid w:val="003507FD"/>
    <w:rsid w:val="003848FE"/>
    <w:rsid w:val="00386A92"/>
    <w:rsid w:val="003924E6"/>
    <w:rsid w:val="003A225F"/>
    <w:rsid w:val="003B2C50"/>
    <w:rsid w:val="00411DFA"/>
    <w:rsid w:val="0042744E"/>
    <w:rsid w:val="00456C26"/>
    <w:rsid w:val="00476958"/>
    <w:rsid w:val="004A575C"/>
    <w:rsid w:val="004A5998"/>
    <w:rsid w:val="004D0759"/>
    <w:rsid w:val="004D6AB6"/>
    <w:rsid w:val="004E42D6"/>
    <w:rsid w:val="00515B7A"/>
    <w:rsid w:val="00525862"/>
    <w:rsid w:val="00531EF2"/>
    <w:rsid w:val="00555106"/>
    <w:rsid w:val="00560841"/>
    <w:rsid w:val="005664C5"/>
    <w:rsid w:val="00571DB1"/>
    <w:rsid w:val="005A1619"/>
    <w:rsid w:val="005B6EBB"/>
    <w:rsid w:val="005E2C06"/>
    <w:rsid w:val="0060021F"/>
    <w:rsid w:val="00606C60"/>
    <w:rsid w:val="00610794"/>
    <w:rsid w:val="006131C5"/>
    <w:rsid w:val="006152D2"/>
    <w:rsid w:val="00616FD4"/>
    <w:rsid w:val="00632CFF"/>
    <w:rsid w:val="0063375A"/>
    <w:rsid w:val="0063462C"/>
    <w:rsid w:val="00650D91"/>
    <w:rsid w:val="00654797"/>
    <w:rsid w:val="00654D6A"/>
    <w:rsid w:val="00673847"/>
    <w:rsid w:val="006B1BB4"/>
    <w:rsid w:val="006B63F8"/>
    <w:rsid w:val="006C08F3"/>
    <w:rsid w:val="007061DC"/>
    <w:rsid w:val="00737D15"/>
    <w:rsid w:val="0074032C"/>
    <w:rsid w:val="0074599D"/>
    <w:rsid w:val="007605BD"/>
    <w:rsid w:val="00771965"/>
    <w:rsid w:val="0077201E"/>
    <w:rsid w:val="00777074"/>
    <w:rsid w:val="00787094"/>
    <w:rsid w:val="0079568F"/>
    <w:rsid w:val="00795966"/>
    <w:rsid w:val="007A550D"/>
    <w:rsid w:val="007C6241"/>
    <w:rsid w:val="007D161D"/>
    <w:rsid w:val="007F297E"/>
    <w:rsid w:val="007F6002"/>
    <w:rsid w:val="00816ECD"/>
    <w:rsid w:val="00824BA8"/>
    <w:rsid w:val="00842A3B"/>
    <w:rsid w:val="008509D5"/>
    <w:rsid w:val="00863AE9"/>
    <w:rsid w:val="008704FC"/>
    <w:rsid w:val="00883607"/>
    <w:rsid w:val="00886457"/>
    <w:rsid w:val="00891B5A"/>
    <w:rsid w:val="008954FF"/>
    <w:rsid w:val="008A350D"/>
    <w:rsid w:val="008B4407"/>
    <w:rsid w:val="008C090D"/>
    <w:rsid w:val="008C6E7A"/>
    <w:rsid w:val="008D555D"/>
    <w:rsid w:val="008E3C9B"/>
    <w:rsid w:val="008E409B"/>
    <w:rsid w:val="008E4EA6"/>
    <w:rsid w:val="008E7C05"/>
    <w:rsid w:val="008F12A3"/>
    <w:rsid w:val="008F2E32"/>
    <w:rsid w:val="008F3FC0"/>
    <w:rsid w:val="009334B1"/>
    <w:rsid w:val="009512E0"/>
    <w:rsid w:val="00974EF2"/>
    <w:rsid w:val="0097690C"/>
    <w:rsid w:val="00982145"/>
    <w:rsid w:val="00991C3F"/>
    <w:rsid w:val="009A442D"/>
    <w:rsid w:val="009A4A2A"/>
    <w:rsid w:val="009B183D"/>
    <w:rsid w:val="009B7E85"/>
    <w:rsid w:val="009C1377"/>
    <w:rsid w:val="009D77A2"/>
    <w:rsid w:val="00A01BFB"/>
    <w:rsid w:val="00A32E71"/>
    <w:rsid w:val="00A43421"/>
    <w:rsid w:val="00A67A38"/>
    <w:rsid w:val="00A77BBB"/>
    <w:rsid w:val="00AA01ED"/>
    <w:rsid w:val="00AE6A02"/>
    <w:rsid w:val="00AF2CB5"/>
    <w:rsid w:val="00B04C37"/>
    <w:rsid w:val="00B33F29"/>
    <w:rsid w:val="00B4083E"/>
    <w:rsid w:val="00B47175"/>
    <w:rsid w:val="00B568A0"/>
    <w:rsid w:val="00B62B1B"/>
    <w:rsid w:val="00B77A95"/>
    <w:rsid w:val="00B86DC8"/>
    <w:rsid w:val="00B878E8"/>
    <w:rsid w:val="00BA472E"/>
    <w:rsid w:val="00BA629B"/>
    <w:rsid w:val="00BB4957"/>
    <w:rsid w:val="00BB508C"/>
    <w:rsid w:val="00BC1C2D"/>
    <w:rsid w:val="00BC57B9"/>
    <w:rsid w:val="00BC6151"/>
    <w:rsid w:val="00BD53D8"/>
    <w:rsid w:val="00BD6A8E"/>
    <w:rsid w:val="00BF16B8"/>
    <w:rsid w:val="00BF31CB"/>
    <w:rsid w:val="00BF3ADE"/>
    <w:rsid w:val="00C13E2F"/>
    <w:rsid w:val="00C15AB2"/>
    <w:rsid w:val="00C223EC"/>
    <w:rsid w:val="00C47AD5"/>
    <w:rsid w:val="00C67A7C"/>
    <w:rsid w:val="00C7050D"/>
    <w:rsid w:val="00C706B0"/>
    <w:rsid w:val="00C76116"/>
    <w:rsid w:val="00C770D4"/>
    <w:rsid w:val="00C909B1"/>
    <w:rsid w:val="00C95D2B"/>
    <w:rsid w:val="00CA7935"/>
    <w:rsid w:val="00CD1504"/>
    <w:rsid w:val="00CE11E5"/>
    <w:rsid w:val="00CF0EF9"/>
    <w:rsid w:val="00D109C1"/>
    <w:rsid w:val="00D15BC9"/>
    <w:rsid w:val="00D2378D"/>
    <w:rsid w:val="00D34B20"/>
    <w:rsid w:val="00D34D29"/>
    <w:rsid w:val="00D648F2"/>
    <w:rsid w:val="00D65043"/>
    <w:rsid w:val="00D756A7"/>
    <w:rsid w:val="00D82A57"/>
    <w:rsid w:val="00DB1AE8"/>
    <w:rsid w:val="00DE4B89"/>
    <w:rsid w:val="00DF0B3E"/>
    <w:rsid w:val="00DF2A93"/>
    <w:rsid w:val="00E1393A"/>
    <w:rsid w:val="00E4766F"/>
    <w:rsid w:val="00E55B67"/>
    <w:rsid w:val="00E563FC"/>
    <w:rsid w:val="00E679E6"/>
    <w:rsid w:val="00E90A84"/>
    <w:rsid w:val="00EA0797"/>
    <w:rsid w:val="00EA77A9"/>
    <w:rsid w:val="00EB2D55"/>
    <w:rsid w:val="00EB42FE"/>
    <w:rsid w:val="00EB4A45"/>
    <w:rsid w:val="00EE046B"/>
    <w:rsid w:val="00F04971"/>
    <w:rsid w:val="00F15129"/>
    <w:rsid w:val="00F15286"/>
    <w:rsid w:val="00F2198B"/>
    <w:rsid w:val="00F22713"/>
    <w:rsid w:val="00F354D2"/>
    <w:rsid w:val="00F50026"/>
    <w:rsid w:val="00F6629F"/>
    <w:rsid w:val="00F81800"/>
    <w:rsid w:val="00F82955"/>
    <w:rsid w:val="00F8650F"/>
    <w:rsid w:val="00F876D6"/>
    <w:rsid w:val="00F925E5"/>
    <w:rsid w:val="00FA0E2A"/>
    <w:rsid w:val="00FB2F14"/>
    <w:rsid w:val="00FB3FC8"/>
    <w:rsid w:val="00FB4F50"/>
    <w:rsid w:val="00FB5F3F"/>
    <w:rsid w:val="00FD6320"/>
    <w:rsid w:val="00FE50B2"/>
    <w:rsid w:val="00FE7680"/>
    <w:rsid w:val="00FF0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42A3B"/>
  </w:style>
  <w:style w:type="paragraph" w:styleId="Fuzeile">
    <w:name w:val="footer"/>
    <w:basedOn w:val="Standard"/>
    <w:link w:val="FuzeileZchn"/>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42A3B"/>
  </w:style>
  <w:style w:type="paragraph" w:styleId="Sprechblasentext">
    <w:name w:val="Balloon Text"/>
    <w:basedOn w:val="Standard"/>
    <w:link w:val="SprechblasentextZchn"/>
    <w:uiPriority w:val="99"/>
    <w:semiHidden/>
    <w:unhideWhenUsed/>
    <w:rsid w:val="00842A3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42A3B"/>
    <w:rPr>
      <w:rFonts w:ascii="Tahoma" w:hAnsi="Tahoma" w:cs="Tahoma"/>
      <w:sz w:val="16"/>
      <w:szCs w:val="16"/>
    </w:rPr>
  </w:style>
  <w:style w:type="table" w:styleId="Tabellenraster">
    <w:name w:val="Table Grid"/>
    <w:basedOn w:val="NormaleTabelle"/>
    <w:uiPriority w:val="59"/>
    <w:rsid w:val="0084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842A3B"/>
  </w:style>
  <w:style w:type="character" w:styleId="Hyperlink">
    <w:name w:val="Hyperlink"/>
    <w:basedOn w:val="Absatz-Standardschriftart"/>
    <w:uiPriority w:val="99"/>
    <w:unhideWhenUsed/>
    <w:rsid w:val="00082E69"/>
    <w:rPr>
      <w:color w:val="0000FF"/>
      <w:u w:val="single"/>
    </w:rPr>
  </w:style>
  <w:style w:type="paragraph" w:styleId="Listenabsatz">
    <w:name w:val="List Paragraph"/>
    <w:basedOn w:val="Standard"/>
    <w:uiPriority w:val="34"/>
    <w:qFormat/>
    <w:rsid w:val="005A1619"/>
    <w:pPr>
      <w:ind w:left="720"/>
      <w:contextualSpacing/>
    </w:pPr>
  </w:style>
  <w:style w:type="paragraph" w:styleId="StandardWeb">
    <w:name w:val="Normal (Web)"/>
    <w:basedOn w:val="Standard"/>
    <w:uiPriority w:val="99"/>
    <w:semiHidden/>
    <w:unhideWhenUsed/>
    <w:rsid w:val="0042744E"/>
    <w:pPr>
      <w:spacing w:before="100" w:beforeAutospacing="1" w:after="100" w:afterAutospacing="1"/>
    </w:pPr>
  </w:style>
  <w:style w:type="character" w:styleId="BesuchterHyperlink">
    <w:name w:val="FollowedHyperlink"/>
    <w:basedOn w:val="Absatz-Standardschriftart"/>
    <w:uiPriority w:val="99"/>
    <w:semiHidden/>
    <w:unhideWhenUsed/>
    <w:rsid w:val="00AA01ED"/>
    <w:rPr>
      <w:color w:val="800080" w:themeColor="followedHyperlink"/>
      <w:u w:val="single"/>
    </w:rPr>
  </w:style>
  <w:style w:type="character" w:styleId="Fett">
    <w:name w:val="Strong"/>
    <w:basedOn w:val="Absatz-Standardschriftart"/>
    <w:uiPriority w:val="22"/>
    <w:qFormat/>
    <w:rsid w:val="00FA0E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42A3B"/>
  </w:style>
  <w:style w:type="paragraph" w:styleId="Fuzeile">
    <w:name w:val="footer"/>
    <w:basedOn w:val="Standard"/>
    <w:link w:val="FuzeileZchn"/>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42A3B"/>
  </w:style>
  <w:style w:type="paragraph" w:styleId="Sprechblasentext">
    <w:name w:val="Balloon Text"/>
    <w:basedOn w:val="Standard"/>
    <w:link w:val="SprechblasentextZchn"/>
    <w:uiPriority w:val="99"/>
    <w:semiHidden/>
    <w:unhideWhenUsed/>
    <w:rsid w:val="00842A3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42A3B"/>
    <w:rPr>
      <w:rFonts w:ascii="Tahoma" w:hAnsi="Tahoma" w:cs="Tahoma"/>
      <w:sz w:val="16"/>
      <w:szCs w:val="16"/>
    </w:rPr>
  </w:style>
  <w:style w:type="table" w:styleId="Tabellenraster">
    <w:name w:val="Table Grid"/>
    <w:basedOn w:val="NormaleTabelle"/>
    <w:uiPriority w:val="59"/>
    <w:rsid w:val="0084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842A3B"/>
  </w:style>
  <w:style w:type="character" w:styleId="Hyperlink">
    <w:name w:val="Hyperlink"/>
    <w:basedOn w:val="Absatz-Standardschriftart"/>
    <w:uiPriority w:val="99"/>
    <w:unhideWhenUsed/>
    <w:rsid w:val="00082E69"/>
    <w:rPr>
      <w:color w:val="0000FF"/>
      <w:u w:val="single"/>
    </w:rPr>
  </w:style>
  <w:style w:type="paragraph" w:styleId="Listenabsatz">
    <w:name w:val="List Paragraph"/>
    <w:basedOn w:val="Standard"/>
    <w:uiPriority w:val="34"/>
    <w:qFormat/>
    <w:rsid w:val="005A1619"/>
    <w:pPr>
      <w:ind w:left="720"/>
      <w:contextualSpacing/>
    </w:pPr>
  </w:style>
  <w:style w:type="paragraph" w:styleId="StandardWeb">
    <w:name w:val="Normal (Web)"/>
    <w:basedOn w:val="Standard"/>
    <w:uiPriority w:val="99"/>
    <w:semiHidden/>
    <w:unhideWhenUsed/>
    <w:rsid w:val="0042744E"/>
    <w:pPr>
      <w:spacing w:before="100" w:beforeAutospacing="1" w:after="100" w:afterAutospacing="1"/>
    </w:pPr>
  </w:style>
  <w:style w:type="character" w:styleId="BesuchterHyperlink">
    <w:name w:val="FollowedHyperlink"/>
    <w:basedOn w:val="Absatz-Standardschriftart"/>
    <w:uiPriority w:val="99"/>
    <w:semiHidden/>
    <w:unhideWhenUsed/>
    <w:rsid w:val="00AA01ED"/>
    <w:rPr>
      <w:color w:val="800080" w:themeColor="followedHyperlink"/>
      <w:u w:val="single"/>
    </w:rPr>
  </w:style>
  <w:style w:type="character" w:styleId="Fett">
    <w:name w:val="Strong"/>
    <w:basedOn w:val="Absatz-Standardschriftart"/>
    <w:uiPriority w:val="22"/>
    <w:qFormat/>
    <w:rsid w:val="00FA0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023">
      <w:bodyDiv w:val="1"/>
      <w:marLeft w:val="0"/>
      <w:marRight w:val="0"/>
      <w:marTop w:val="0"/>
      <w:marBottom w:val="0"/>
      <w:divBdr>
        <w:top w:val="none" w:sz="0" w:space="0" w:color="auto"/>
        <w:left w:val="none" w:sz="0" w:space="0" w:color="auto"/>
        <w:bottom w:val="none" w:sz="0" w:space="0" w:color="auto"/>
        <w:right w:val="none" w:sz="0" w:space="0" w:color="auto"/>
      </w:divBdr>
    </w:div>
    <w:div w:id="709233367">
      <w:bodyDiv w:val="1"/>
      <w:marLeft w:val="0"/>
      <w:marRight w:val="0"/>
      <w:marTop w:val="0"/>
      <w:marBottom w:val="0"/>
      <w:divBdr>
        <w:top w:val="none" w:sz="0" w:space="0" w:color="auto"/>
        <w:left w:val="none" w:sz="0" w:space="0" w:color="auto"/>
        <w:bottom w:val="none" w:sz="0" w:space="0" w:color="auto"/>
        <w:right w:val="none" w:sz="0" w:space="0" w:color="auto"/>
      </w:divBdr>
    </w:div>
    <w:div w:id="1007632095">
      <w:bodyDiv w:val="1"/>
      <w:marLeft w:val="0"/>
      <w:marRight w:val="0"/>
      <w:marTop w:val="0"/>
      <w:marBottom w:val="0"/>
      <w:divBdr>
        <w:top w:val="none" w:sz="0" w:space="0" w:color="auto"/>
        <w:left w:val="none" w:sz="0" w:space="0" w:color="auto"/>
        <w:bottom w:val="none" w:sz="0" w:space="0" w:color="auto"/>
        <w:right w:val="none" w:sz="0" w:space="0" w:color="auto"/>
      </w:divBdr>
    </w:div>
    <w:div w:id="1027297611">
      <w:bodyDiv w:val="1"/>
      <w:marLeft w:val="0"/>
      <w:marRight w:val="0"/>
      <w:marTop w:val="0"/>
      <w:marBottom w:val="0"/>
      <w:divBdr>
        <w:top w:val="none" w:sz="0" w:space="0" w:color="auto"/>
        <w:left w:val="none" w:sz="0" w:space="0" w:color="auto"/>
        <w:bottom w:val="none" w:sz="0" w:space="0" w:color="auto"/>
        <w:right w:val="none" w:sz="0" w:space="0" w:color="auto"/>
      </w:divBdr>
    </w:div>
    <w:div w:id="1461339940">
      <w:bodyDiv w:val="1"/>
      <w:marLeft w:val="0"/>
      <w:marRight w:val="0"/>
      <w:marTop w:val="0"/>
      <w:marBottom w:val="0"/>
      <w:divBdr>
        <w:top w:val="none" w:sz="0" w:space="0" w:color="auto"/>
        <w:left w:val="none" w:sz="0" w:space="0" w:color="auto"/>
        <w:bottom w:val="none" w:sz="0" w:space="0" w:color="auto"/>
        <w:right w:val="none" w:sz="0" w:space="0" w:color="auto"/>
      </w:divBdr>
    </w:div>
    <w:div w:id="1765876214">
      <w:bodyDiv w:val="1"/>
      <w:marLeft w:val="0"/>
      <w:marRight w:val="0"/>
      <w:marTop w:val="0"/>
      <w:marBottom w:val="0"/>
      <w:divBdr>
        <w:top w:val="none" w:sz="0" w:space="0" w:color="auto"/>
        <w:left w:val="none" w:sz="0" w:space="0" w:color="auto"/>
        <w:bottom w:val="none" w:sz="0" w:space="0" w:color="auto"/>
        <w:right w:val="none" w:sz="0" w:space="0" w:color="auto"/>
      </w:divBdr>
    </w:div>
    <w:div w:id="1885485303">
      <w:bodyDiv w:val="1"/>
      <w:marLeft w:val="0"/>
      <w:marRight w:val="0"/>
      <w:marTop w:val="0"/>
      <w:marBottom w:val="0"/>
      <w:divBdr>
        <w:top w:val="none" w:sz="0" w:space="0" w:color="auto"/>
        <w:left w:val="none" w:sz="0" w:space="0" w:color="auto"/>
        <w:bottom w:val="none" w:sz="0" w:space="0" w:color="auto"/>
        <w:right w:val="none" w:sz="0" w:space="0" w:color="auto"/>
      </w:divBdr>
    </w:div>
    <w:div w:id="1926377958">
      <w:bodyDiv w:val="1"/>
      <w:marLeft w:val="0"/>
      <w:marRight w:val="0"/>
      <w:marTop w:val="0"/>
      <w:marBottom w:val="0"/>
      <w:divBdr>
        <w:top w:val="none" w:sz="0" w:space="0" w:color="auto"/>
        <w:left w:val="none" w:sz="0" w:space="0" w:color="auto"/>
        <w:bottom w:val="none" w:sz="0" w:space="0" w:color="auto"/>
        <w:right w:val="none" w:sz="0" w:space="0" w:color="auto"/>
      </w:divBdr>
    </w:div>
    <w:div w:id="21140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cid:image002.jpg@01CDF26C.A0CEF580"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3.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FT-SRV01\DATEN\2012\elec%20&amp;%20EneR%20&amp;%20Tronica%202012\PSR\Auswertung%20&amp;%20Graph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SRV01\DATEN\2012\elec%20&amp;%20EneR%20&amp;%20Tronica%202012\PSR\Auswertung%20&amp;%20Graph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SRV01\DATEN\2012\elec%20&amp;%20EneR%20&amp;%20Tronica%202012\PSR\Auswertung%20&amp;%20Graphen.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FT-SRV01\DATEN\2012\elec%20&amp;%20EneR%20&amp;%20Tronica%202012\PSR\Auswertung%20&amp;%20Graph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2389893097404"/>
          <c:y val="4.5632598191695004E-2"/>
          <c:w val="0.45214223112124186"/>
          <c:h val="0.87076406806912321"/>
        </c:manualLayout>
      </c:layout>
      <c:pieChart>
        <c:varyColors val="1"/>
        <c:ser>
          <c:idx val="0"/>
          <c:order val="0"/>
          <c:dLbls>
            <c:txPr>
              <a:bodyPr/>
              <a:lstStyle/>
              <a:p>
                <a:pPr>
                  <a:defRPr sz="1050" b="1"/>
                </a:pPr>
                <a:endParaRPr lang="en-US"/>
              </a:p>
            </c:txPr>
            <c:showLegendKey val="0"/>
            <c:showVal val="0"/>
            <c:showCatName val="0"/>
            <c:showSerName val="0"/>
            <c:showPercent val="1"/>
            <c:showBubbleSize val="0"/>
            <c:showLeaderLines val="1"/>
          </c:dLbls>
          <c:cat>
            <c:strRef>
              <c:f>Tabelle1!$J$35:$J$46</c:f>
              <c:strCache>
                <c:ptCount val="12"/>
                <c:pt idx="0">
                  <c:v>PDG / DG / Gérant</c:v>
                </c:pt>
                <c:pt idx="1">
                  <c:v>Responsable technique</c:v>
                </c:pt>
                <c:pt idx="2">
                  <c:v>Ingénieur syst. &amp; mainten.</c:v>
                </c:pt>
                <c:pt idx="3">
                  <c:v>Directeur commercial / marketing</c:v>
                </c:pt>
                <c:pt idx="4">
                  <c:v>Chef de projet</c:v>
                </c:pt>
                <c:pt idx="5">
                  <c:v>Consultant</c:v>
                </c:pt>
                <c:pt idx="6">
                  <c:v>Etudiant</c:v>
                </c:pt>
                <c:pt idx="7">
                  <c:v>Directeur des achats</c:v>
                </c:pt>
                <c:pt idx="8">
                  <c:v>Enseignant</c:v>
                </c:pt>
                <c:pt idx="9">
                  <c:v>Responsable financier</c:v>
                </c:pt>
                <c:pt idx="10">
                  <c:v>Responsable production inform.</c:v>
                </c:pt>
                <c:pt idx="11">
                  <c:v>Directeur informatique</c:v>
                </c:pt>
              </c:strCache>
            </c:strRef>
          </c:cat>
          <c:val>
            <c:numRef>
              <c:f>Tabelle1!$K$35:$K$46</c:f>
              <c:numCache>
                <c:formatCode>0%</c:formatCode>
                <c:ptCount val="12"/>
                <c:pt idx="0">
                  <c:v>0.28708439897698212</c:v>
                </c:pt>
                <c:pt idx="1">
                  <c:v>0.14482097186700768</c:v>
                </c:pt>
                <c:pt idx="2">
                  <c:v>0.1301150895140665</c:v>
                </c:pt>
                <c:pt idx="3">
                  <c:v>0.11540920716112532</c:v>
                </c:pt>
                <c:pt idx="4">
                  <c:v>0.11445012787723785</c:v>
                </c:pt>
                <c:pt idx="5">
                  <c:v>6.3618925831202044E-2</c:v>
                </c:pt>
                <c:pt idx="6">
                  <c:v>4.5716112531969312E-2</c:v>
                </c:pt>
                <c:pt idx="7">
                  <c:v>3.0690537084398978E-2</c:v>
                </c:pt>
                <c:pt idx="8">
                  <c:v>2.3976982097186701E-2</c:v>
                </c:pt>
                <c:pt idx="9">
                  <c:v>1.8542199488491048E-2</c:v>
                </c:pt>
                <c:pt idx="10">
                  <c:v>1.6943734015345269E-2</c:v>
                </c:pt>
                <c:pt idx="11">
                  <c:v>6.0741687979539638E-3</c:v>
                </c:pt>
              </c:numCache>
            </c:numRef>
          </c:val>
        </c:ser>
        <c:dLbls>
          <c:showLegendKey val="0"/>
          <c:showVal val="0"/>
          <c:showCatName val="0"/>
          <c:showSerName val="0"/>
          <c:showPercent val="1"/>
          <c:showBubbleSize val="0"/>
          <c:showLeaderLines val="1"/>
        </c:dLbls>
        <c:firstSliceAng val="271"/>
      </c:pieChart>
    </c:plotArea>
    <c:legend>
      <c:legendPos val="r"/>
      <c:layout>
        <c:manualLayout>
          <c:xMode val="edge"/>
          <c:yMode val="edge"/>
          <c:x val="0.61511820149195573"/>
          <c:y val="3.9467448780825073E-2"/>
          <c:w val="0.37043807212238145"/>
          <c:h val="0.89788708621022972"/>
        </c:manualLayout>
      </c:layout>
      <c:overlay val="0"/>
      <c:txPr>
        <a:bodyPr/>
        <a:lstStyle/>
        <a:p>
          <a:pPr>
            <a:defRPr sz="800"/>
          </a:pPr>
          <a:endParaRPr lang="en-US"/>
        </a:p>
      </c:txPr>
    </c:legend>
    <c:plotVisOnly val="1"/>
    <c:dispBlanksAs val="gap"/>
    <c:showDLblsOverMax val="0"/>
  </c:chart>
  <c:spPr>
    <a:ln>
      <a:noFill/>
    </a:ln>
  </c:spPr>
  <c:txPr>
    <a:bodyPr/>
    <a:lstStyle/>
    <a:p>
      <a:pPr>
        <a:defRPr sz="700">
          <a:latin typeface="Verdana" pitchFamily="34" charset="0"/>
          <a:ea typeface="Verdana" pitchFamily="34" charset="0"/>
          <a:cs typeface="Verdana"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bar"/>
        <c:grouping val="clustered"/>
        <c:varyColors val="0"/>
        <c:ser>
          <c:idx val="0"/>
          <c:order val="0"/>
          <c:invertIfNegative val="0"/>
          <c:dLbls>
            <c:txPr>
              <a:bodyPr/>
              <a:lstStyle/>
              <a:p>
                <a:pPr>
                  <a:defRPr b="1"/>
                </a:pPr>
                <a:endParaRPr lang="en-US"/>
              </a:p>
            </c:txPr>
            <c:showLegendKey val="0"/>
            <c:showVal val="1"/>
            <c:showCatName val="0"/>
            <c:showSerName val="0"/>
            <c:showPercent val="0"/>
            <c:showBubbleSize val="0"/>
            <c:showLeaderLines val="0"/>
          </c:dLbls>
          <c:cat>
            <c:strRef>
              <c:f>Tabelle1!$H$2:$H$18</c:f>
              <c:strCache>
                <c:ptCount val="17"/>
                <c:pt idx="0">
                  <c:v>Technologie du froid, de climatisation et de ventilation</c:v>
                </c:pt>
                <c:pt idx="1">
                  <c:v>Technologies de l’environnement</c:v>
                </c:pt>
                <c:pt idx="2">
                  <c:v>Industrie des métaux</c:v>
                </c:pt>
                <c:pt idx="3">
                  <c:v>Industrie automobile</c:v>
                </c:pt>
                <c:pt idx="4">
                  <c:v>Banques et assurances</c:v>
                </c:pt>
                <c:pt idx="5">
                  <c:v>Exploitants de centrales et producteurs d’énergie</c:v>
                </c:pt>
                <c:pt idx="6">
                  <c:v>Administration publique</c:v>
                </c:pt>
                <c:pt idx="7">
                  <c:v>Industrie chimique</c:v>
                </c:pt>
                <c:pt idx="8">
                  <c:v>Villes et communes – travaux publics</c:v>
                </c:pt>
                <c:pt idx="9">
                  <c:v>Secteur renouvelables</c:v>
                </c:pt>
                <c:pt idx="10">
                  <c:v>Télécoms et technologies de l’information</c:v>
                </c:pt>
                <c:pt idx="11">
                  <c:v>Secteur agricole</c:v>
                </c:pt>
                <c:pt idx="12">
                  <c:v>Formation</c:v>
                </c:pt>
                <c:pt idx="13">
                  <c:v>Équipementiers et fournisseurs de l’industrie</c:v>
                </c:pt>
                <c:pt idx="14">
                  <c:v>Secteur du bâtiment, technique du bâtiment et maintenance</c:v>
                </c:pt>
                <c:pt idx="15">
                  <c:v>Services</c:v>
                </c:pt>
                <c:pt idx="16">
                  <c:v>Électrotechnique</c:v>
                </c:pt>
              </c:strCache>
            </c:strRef>
          </c:cat>
          <c:val>
            <c:numRef>
              <c:f>Tabelle1!$I$2:$I$18</c:f>
              <c:numCache>
                <c:formatCode>0%</c:formatCode>
                <c:ptCount val="17"/>
                <c:pt idx="0">
                  <c:v>1.7600000000000001E-2</c:v>
                </c:pt>
                <c:pt idx="1">
                  <c:v>2.1760000000000002E-2</c:v>
                </c:pt>
                <c:pt idx="2">
                  <c:v>2.3359999999999999E-2</c:v>
                </c:pt>
                <c:pt idx="3">
                  <c:v>2.4E-2</c:v>
                </c:pt>
                <c:pt idx="4">
                  <c:v>2.4320000000000001E-2</c:v>
                </c:pt>
                <c:pt idx="5">
                  <c:v>2.8160000000000001E-2</c:v>
                </c:pt>
                <c:pt idx="6">
                  <c:v>3.04E-2</c:v>
                </c:pt>
                <c:pt idx="7">
                  <c:v>3.1040000000000002E-2</c:v>
                </c:pt>
                <c:pt idx="8">
                  <c:v>3.1359999999999999E-2</c:v>
                </c:pt>
                <c:pt idx="9">
                  <c:v>0.04</c:v>
                </c:pt>
                <c:pt idx="10">
                  <c:v>4.3200000000000002E-2</c:v>
                </c:pt>
                <c:pt idx="11">
                  <c:v>4.6719999999999998E-2</c:v>
                </c:pt>
                <c:pt idx="12">
                  <c:v>5.28E-2</c:v>
                </c:pt>
                <c:pt idx="13">
                  <c:v>8.9599999999999999E-2</c:v>
                </c:pt>
                <c:pt idx="14">
                  <c:v>0.10144</c:v>
                </c:pt>
                <c:pt idx="15">
                  <c:v>0.10847999999999999</c:v>
                </c:pt>
                <c:pt idx="16">
                  <c:v>0.19103999999999999</c:v>
                </c:pt>
              </c:numCache>
            </c:numRef>
          </c:val>
        </c:ser>
        <c:dLbls>
          <c:showLegendKey val="0"/>
          <c:showVal val="1"/>
          <c:showCatName val="0"/>
          <c:showSerName val="0"/>
          <c:showPercent val="0"/>
          <c:showBubbleSize val="0"/>
        </c:dLbls>
        <c:gapWidth val="150"/>
        <c:overlap val="-25"/>
        <c:axId val="66930176"/>
        <c:axId val="66949504"/>
      </c:barChart>
      <c:catAx>
        <c:axId val="66930176"/>
        <c:scaling>
          <c:orientation val="minMax"/>
        </c:scaling>
        <c:delete val="0"/>
        <c:axPos val="l"/>
        <c:majorTickMark val="none"/>
        <c:minorTickMark val="none"/>
        <c:tickLblPos val="nextTo"/>
        <c:txPr>
          <a:bodyPr/>
          <a:lstStyle/>
          <a:p>
            <a:pPr>
              <a:defRPr sz="800"/>
            </a:pPr>
            <a:endParaRPr lang="en-US"/>
          </a:p>
        </c:txPr>
        <c:crossAx val="66949504"/>
        <c:crosses val="autoZero"/>
        <c:auto val="1"/>
        <c:lblAlgn val="ctr"/>
        <c:lblOffset val="100"/>
        <c:noMultiLvlLbl val="0"/>
      </c:catAx>
      <c:valAx>
        <c:axId val="66949504"/>
        <c:scaling>
          <c:orientation val="minMax"/>
        </c:scaling>
        <c:delete val="1"/>
        <c:axPos val="b"/>
        <c:numFmt formatCode="0%" sourceLinked="1"/>
        <c:majorTickMark val="out"/>
        <c:minorTickMark val="none"/>
        <c:tickLblPos val="nextTo"/>
        <c:crossAx val="66930176"/>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txPr>
              <a:bodyPr/>
              <a:lstStyle/>
              <a:p>
                <a:pPr>
                  <a:defRPr sz="1200" b="1"/>
                </a:pPr>
                <a:endParaRPr lang="en-US"/>
              </a:p>
            </c:txPr>
            <c:showLegendKey val="0"/>
            <c:showVal val="1"/>
            <c:showCatName val="0"/>
            <c:showSerName val="0"/>
            <c:showPercent val="0"/>
            <c:showBubbleSize val="0"/>
            <c:showLeaderLines val="0"/>
          </c:dLbls>
          <c:cat>
            <c:strRef>
              <c:f>Tabelle1!$A$52:$A$79</c:f>
              <c:strCache>
                <c:ptCount val="28"/>
                <c:pt idx="0">
                  <c:v>Sources d'energie conventionnelle </c:v>
                </c:pt>
                <c:pt idx="1">
                  <c:v>Utilisation de la vapeur comme source d’énergie</c:v>
                </c:pt>
                <c:pt idx="2">
                  <c:v>Automation industrielle</c:v>
                </c:pt>
                <c:pt idx="3">
                  <c:v>Micro hydroelectric power stations</c:v>
                </c:pt>
                <c:pt idx="4">
                  <c:v>Piles à combustible</c:v>
                </c:pt>
                <c:pt idx="5">
                  <c:v>Solution hydrogène</c:v>
                </c:pt>
                <c:pt idx="6">
                  <c:v>Charbon</c:v>
                </c:pt>
                <c:pt idx="7">
                  <c:v>Automation des usines dans le domaine de la construction mécanique</c:v>
                </c:pt>
                <c:pt idx="8">
                  <c:v>Biomasse</c:v>
                </c:pt>
                <c:pt idx="9">
                  <c:v>Domotique et immotique</c:v>
                </c:pt>
                <c:pt idx="10">
                  <c:v>Energie nucléaire</c:v>
                </c:pt>
                <c:pt idx="11">
                  <c:v>Systèmes de comptage de la consommation énergétique</c:v>
                </c:pt>
                <c:pt idx="12">
                  <c:v>Pétrole</c:v>
                </c:pt>
                <c:pt idx="13">
                  <c:v>Electro</c:v>
                </c:pt>
                <c:pt idx="14">
                  <c:v>Automation des processus</c:v>
                </c:pt>
                <c:pt idx="15">
                  <c:v>Gaz</c:v>
                </c:pt>
                <c:pt idx="16">
                  <c:v>Energie éolienne</c:v>
                </c:pt>
                <c:pt idx="17">
                  <c:v>Automation des usines dans le domaine de l’électrotechnique</c:v>
                </c:pt>
                <c:pt idx="18">
                  <c:v>Automation des bâtiments industriels</c:v>
                </c:pt>
                <c:pt idx="19">
                  <c:v>Economie d’énergie</c:v>
                </c:pt>
                <c:pt idx="20">
                  <c:v>Eclairage</c:v>
                </c:pt>
                <c:pt idx="21">
                  <c:v>Technologies d’économie d’énergie</c:v>
                </c:pt>
                <c:pt idx="22">
                  <c:v>Systèmes d’économie d’énergie</c:v>
                </c:pt>
                <c:pt idx="23">
                  <c:v>Energies renouvelables </c:v>
                </c:pt>
                <c:pt idx="24">
                  <c:v>Électrotechnique</c:v>
                </c:pt>
                <c:pt idx="25">
                  <c:v>Matériel de mesurage, de régulation et de contrôle</c:v>
                </c:pt>
                <c:pt idx="26">
                  <c:v>Transmission et distribution d’énergie</c:v>
                </c:pt>
                <c:pt idx="27">
                  <c:v>Energie solaire</c:v>
                </c:pt>
              </c:strCache>
            </c:strRef>
          </c:cat>
          <c:val>
            <c:numRef>
              <c:f>Tabelle1!$B$52:$B$79</c:f>
              <c:numCache>
                <c:formatCode>0.0%</c:formatCode>
                <c:ptCount val="28"/>
                <c:pt idx="0">
                  <c:v>4.815409309791332E-3</c:v>
                </c:pt>
                <c:pt idx="1">
                  <c:v>6.1530230069555911E-3</c:v>
                </c:pt>
                <c:pt idx="2">
                  <c:v>6.6880684858212948E-3</c:v>
                </c:pt>
                <c:pt idx="3">
                  <c:v>6.6880684858212948E-3</c:v>
                </c:pt>
                <c:pt idx="4">
                  <c:v>7.2231139646869984E-3</c:v>
                </c:pt>
                <c:pt idx="5">
                  <c:v>9.630818619582664E-3</c:v>
                </c:pt>
                <c:pt idx="6">
                  <c:v>1.1235955056179775E-2</c:v>
                </c:pt>
                <c:pt idx="7">
                  <c:v>1.2573568753344035E-2</c:v>
                </c:pt>
                <c:pt idx="8">
                  <c:v>1.3911182450508293E-2</c:v>
                </c:pt>
                <c:pt idx="9">
                  <c:v>1.4981273408239701E-2</c:v>
                </c:pt>
                <c:pt idx="10">
                  <c:v>1.792402354200107E-2</c:v>
                </c:pt>
                <c:pt idx="11">
                  <c:v>1.9261637239165328E-2</c:v>
                </c:pt>
                <c:pt idx="12">
                  <c:v>2.1669341894060994E-2</c:v>
                </c:pt>
                <c:pt idx="13">
                  <c:v>2.3809523809523808E-2</c:v>
                </c:pt>
                <c:pt idx="14">
                  <c:v>2.4879614767255216E-2</c:v>
                </c:pt>
                <c:pt idx="15">
                  <c:v>2.514713750668807E-2</c:v>
                </c:pt>
                <c:pt idx="16">
                  <c:v>2.969502407704655E-2</c:v>
                </c:pt>
                <c:pt idx="17">
                  <c:v>3.0230069555912252E-2</c:v>
                </c:pt>
                <c:pt idx="18">
                  <c:v>3.3440342429106477E-2</c:v>
                </c:pt>
                <c:pt idx="19">
                  <c:v>4.3606206527554842E-2</c:v>
                </c:pt>
                <c:pt idx="20">
                  <c:v>4.8689138576779027E-2</c:v>
                </c:pt>
                <c:pt idx="21">
                  <c:v>5.403959336543606E-2</c:v>
                </c:pt>
                <c:pt idx="22">
                  <c:v>6.5008025682182988E-2</c:v>
                </c:pt>
                <c:pt idx="23">
                  <c:v>7.1428571428571425E-2</c:v>
                </c:pt>
                <c:pt idx="24">
                  <c:v>8.9620117710005345E-2</c:v>
                </c:pt>
                <c:pt idx="25">
                  <c:v>8.98876404494382E-2</c:v>
                </c:pt>
                <c:pt idx="26">
                  <c:v>9.1225254146602458E-2</c:v>
                </c:pt>
                <c:pt idx="27">
                  <c:v>0.12653825575173891</c:v>
                </c:pt>
              </c:numCache>
            </c:numRef>
          </c:val>
        </c:ser>
        <c:dLbls>
          <c:showLegendKey val="0"/>
          <c:showVal val="1"/>
          <c:showCatName val="0"/>
          <c:showSerName val="0"/>
          <c:showPercent val="0"/>
          <c:showBubbleSize val="0"/>
        </c:dLbls>
        <c:gapWidth val="75"/>
        <c:axId val="66956288"/>
        <c:axId val="66975616"/>
      </c:barChart>
      <c:catAx>
        <c:axId val="66956288"/>
        <c:scaling>
          <c:orientation val="minMax"/>
        </c:scaling>
        <c:delete val="0"/>
        <c:axPos val="l"/>
        <c:majorTickMark val="none"/>
        <c:minorTickMark val="none"/>
        <c:tickLblPos val="nextTo"/>
        <c:txPr>
          <a:bodyPr/>
          <a:lstStyle/>
          <a:p>
            <a:pPr>
              <a:defRPr sz="900"/>
            </a:pPr>
            <a:endParaRPr lang="en-US"/>
          </a:p>
        </c:txPr>
        <c:crossAx val="66975616"/>
        <c:crosses val="autoZero"/>
        <c:auto val="1"/>
        <c:lblAlgn val="ctr"/>
        <c:lblOffset val="100"/>
        <c:noMultiLvlLbl val="0"/>
      </c:catAx>
      <c:valAx>
        <c:axId val="66975616"/>
        <c:scaling>
          <c:orientation val="minMax"/>
        </c:scaling>
        <c:delete val="1"/>
        <c:axPos val="b"/>
        <c:numFmt formatCode="0.0%" sourceLinked="1"/>
        <c:majorTickMark val="none"/>
        <c:minorTickMark val="none"/>
        <c:tickLblPos val="nextTo"/>
        <c:crossAx val="66956288"/>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519560258137195E-2"/>
          <c:y val="9.9537037037037035E-2"/>
          <c:w val="0.67847674947928216"/>
          <c:h val="0.77314814814814814"/>
        </c:manualLayout>
      </c:layout>
      <c:pieChart>
        <c:varyColors val="1"/>
        <c:ser>
          <c:idx val="0"/>
          <c:order val="0"/>
          <c:tx>
            <c:strRef>
              <c:f>Tabelle1!$B$3</c:f>
              <c:strCache>
                <c:ptCount val="1"/>
                <c:pt idx="0">
                  <c:v>3. With the quality of visitor contacts I am</c:v>
                </c:pt>
              </c:strCache>
            </c:strRef>
          </c:tx>
          <c:dPt>
            <c:idx val="0"/>
            <c:bubble3D val="0"/>
            <c:spPr>
              <a:solidFill>
                <a:srgbClr val="0070C0"/>
              </a:solidFill>
            </c:spPr>
          </c:dPt>
          <c:dPt>
            <c:idx val="1"/>
            <c:bubble3D val="0"/>
            <c:spPr>
              <a:solidFill>
                <a:srgbClr val="92D050"/>
              </a:solidFill>
            </c:spPr>
          </c:dPt>
          <c:dLbls>
            <c:dLbl>
              <c:idx val="0"/>
              <c:layout>
                <c:manualLayout>
                  <c:x val="0.11022090988626422"/>
                  <c:y val="0.19675925925925927"/>
                </c:manualLayout>
              </c:layout>
              <c:tx>
                <c:rich>
                  <a:bodyPr/>
                  <a:lstStyle/>
                  <a:p>
                    <a:r>
                      <a:rPr lang="en-US" sz="900"/>
                      <a:t>satisfaits
92%</a:t>
                    </a:r>
                  </a:p>
                </c:rich>
              </c:tx>
              <c:showLegendKey val="0"/>
              <c:showVal val="1"/>
              <c:showCatName val="1"/>
              <c:showSerName val="0"/>
              <c:showPercent val="0"/>
              <c:showBubbleSize val="0"/>
              <c:separator>
</c:separator>
            </c:dLbl>
            <c:dLbl>
              <c:idx val="1"/>
              <c:layout>
                <c:manualLayout>
                  <c:x val="9.4867102179065521E-2"/>
                  <c:y val="1.1056794983960339E-2"/>
                </c:manualLayout>
              </c:layout>
              <c:tx>
                <c:rich>
                  <a:bodyPr/>
                  <a:lstStyle/>
                  <a:p>
                    <a:pPr>
                      <a:defRPr sz="900" b="1">
                        <a:latin typeface="Arial" pitchFamily="34" charset="0"/>
                        <a:cs typeface="Arial" pitchFamily="34" charset="0"/>
                      </a:defRPr>
                    </a:pPr>
                    <a:r>
                      <a:rPr lang="en-US" sz="900" b="0"/>
                      <a:t>insatisfaits
8%</a:t>
                    </a:r>
                  </a:p>
                </c:rich>
              </c:tx>
              <c:spPr>
                <a:ln w="22225"/>
              </c:spPr>
              <c:showLegendKey val="0"/>
              <c:showVal val="1"/>
              <c:showCatName val="1"/>
              <c:showSerName val="0"/>
              <c:showPercent val="0"/>
              <c:showBubbleSize val="0"/>
              <c:separator>
</c:separator>
            </c:dLbl>
            <c:txPr>
              <a:bodyPr/>
              <a:lstStyle/>
              <a:p>
                <a:pPr>
                  <a:defRPr sz="1050" b="1">
                    <a:latin typeface="Arial" pitchFamily="34" charset="0"/>
                    <a:cs typeface="Arial" pitchFamily="34" charset="0"/>
                  </a:defRPr>
                </a:pPr>
                <a:endParaRPr lang="en-US"/>
              </a:p>
            </c:txPr>
            <c:showLegendKey val="0"/>
            <c:showVal val="1"/>
            <c:showCatName val="1"/>
            <c:showSerName val="0"/>
            <c:showPercent val="0"/>
            <c:showBubbleSize val="0"/>
            <c:separator>
</c:separator>
            <c:showLeaderLines val="1"/>
          </c:dLbls>
          <c:cat>
            <c:strRef>
              <c:f>Tabelle1!$A$4:$A$5</c:f>
              <c:strCache>
                <c:ptCount val="2"/>
                <c:pt idx="0">
                  <c:v>satisfied</c:v>
                </c:pt>
                <c:pt idx="1">
                  <c:v>unsatisfied</c:v>
                </c:pt>
              </c:strCache>
            </c:strRef>
          </c:cat>
          <c:val>
            <c:numRef>
              <c:f>Tabelle1!$B$4:$B$5</c:f>
              <c:numCache>
                <c:formatCode>0%</c:formatCode>
                <c:ptCount val="2"/>
                <c:pt idx="0">
                  <c:v>0.92</c:v>
                </c:pt>
                <c:pt idx="1">
                  <c:v>0.08</c:v>
                </c:pt>
              </c:numCache>
            </c:numRef>
          </c:val>
        </c:ser>
        <c:dLbls>
          <c:showLegendKey val="0"/>
          <c:showVal val="1"/>
          <c:showCatName val="1"/>
          <c:showSerName val="0"/>
          <c:showPercent val="0"/>
          <c:showBubbleSize val="0"/>
          <c:showLeaderLines val="1"/>
        </c:dLbls>
        <c:firstSliceAng val="180"/>
      </c:pie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44520553557236"/>
          <c:y val="3.4722222222222224E-2"/>
          <c:w val="0.69510926118626426"/>
          <c:h val="0.77314814814814814"/>
        </c:manualLayout>
      </c:layout>
      <c:pieChart>
        <c:varyColors val="1"/>
        <c:ser>
          <c:idx val="0"/>
          <c:order val="0"/>
          <c:tx>
            <c:strRef>
              <c:f>Tabelle1!$B$16</c:f>
              <c:strCache>
                <c:ptCount val="1"/>
                <c:pt idx="0">
                  <c:v>7. Would you recommend elec expo/EneR Event/Tronica Expo to other companies?</c:v>
                </c:pt>
              </c:strCache>
            </c:strRef>
          </c:tx>
          <c:dPt>
            <c:idx val="0"/>
            <c:bubble3D val="0"/>
            <c:spPr>
              <a:solidFill>
                <a:srgbClr val="0070C0"/>
              </a:solidFill>
            </c:spPr>
          </c:dPt>
          <c:dPt>
            <c:idx val="1"/>
            <c:bubble3D val="0"/>
            <c:spPr>
              <a:solidFill>
                <a:srgbClr val="92D050"/>
              </a:solidFill>
            </c:spPr>
          </c:dPt>
          <c:dLbls>
            <c:dLbl>
              <c:idx val="0"/>
              <c:layout>
                <c:manualLayout>
                  <c:x val="0.18931170581187753"/>
                  <c:y val="0.17824074074074073"/>
                </c:manualLayout>
              </c:layout>
              <c:tx>
                <c:rich>
                  <a:bodyPr/>
                  <a:lstStyle/>
                  <a:p>
                    <a:pPr>
                      <a:defRPr sz="1050" b="1">
                        <a:latin typeface="Arial" pitchFamily="34" charset="0"/>
                        <a:cs typeface="Arial" pitchFamily="34" charset="0"/>
                      </a:defRPr>
                    </a:pPr>
                    <a:r>
                      <a:rPr lang="en-US"/>
                      <a:t>oui
85%</a:t>
                    </a:r>
                  </a:p>
                </c:rich>
              </c:tx>
              <c:spPr/>
              <c:showLegendKey val="0"/>
              <c:showVal val="1"/>
              <c:showCatName val="1"/>
              <c:showSerName val="0"/>
              <c:showPercent val="0"/>
              <c:showBubbleSize val="0"/>
              <c:separator>
</c:separator>
            </c:dLbl>
            <c:dLbl>
              <c:idx val="1"/>
              <c:layout>
                <c:manualLayout>
                  <c:x val="-0.12532868606842962"/>
                  <c:y val="-0.14641149023038788"/>
                </c:manualLayout>
              </c:layout>
              <c:tx>
                <c:rich>
                  <a:bodyPr/>
                  <a:lstStyle/>
                  <a:p>
                    <a:pPr>
                      <a:defRPr sz="1000" b="0">
                        <a:latin typeface="Arial" pitchFamily="34" charset="0"/>
                        <a:cs typeface="Arial" pitchFamily="34" charset="0"/>
                      </a:defRPr>
                    </a:pPr>
                    <a:r>
                      <a:rPr lang="en-US"/>
                      <a:t>non
15%</a:t>
                    </a:r>
                  </a:p>
                </c:rich>
              </c:tx>
              <c:spPr/>
              <c:showLegendKey val="0"/>
              <c:showVal val="1"/>
              <c:showCatName val="1"/>
              <c:showSerName val="0"/>
              <c:showPercent val="0"/>
              <c:showBubbleSize val="0"/>
              <c:separator>
</c:separator>
            </c:dLbl>
            <c:txPr>
              <a:bodyPr/>
              <a:lstStyle/>
              <a:p>
                <a:pPr>
                  <a:defRPr sz="1200" b="1">
                    <a:latin typeface="Arial" pitchFamily="34" charset="0"/>
                    <a:cs typeface="Arial" pitchFamily="34" charset="0"/>
                  </a:defRPr>
                </a:pPr>
                <a:endParaRPr lang="en-US"/>
              </a:p>
            </c:txPr>
            <c:showLegendKey val="0"/>
            <c:showVal val="1"/>
            <c:showCatName val="1"/>
            <c:showSerName val="0"/>
            <c:showPercent val="0"/>
            <c:showBubbleSize val="0"/>
            <c:separator>
</c:separator>
            <c:showLeaderLines val="1"/>
          </c:dLbls>
          <c:cat>
            <c:strRef>
              <c:f>Tabelle1!$A$17:$A$18</c:f>
              <c:strCache>
                <c:ptCount val="2"/>
                <c:pt idx="0">
                  <c:v>yes</c:v>
                </c:pt>
                <c:pt idx="1">
                  <c:v>no</c:v>
                </c:pt>
              </c:strCache>
            </c:strRef>
          </c:cat>
          <c:val>
            <c:numRef>
              <c:f>Tabelle1!$B$17:$B$18</c:f>
              <c:numCache>
                <c:formatCode>0%</c:formatCode>
                <c:ptCount val="2"/>
                <c:pt idx="0">
                  <c:v>0.85</c:v>
                </c:pt>
                <c:pt idx="1">
                  <c:v>0.15</c:v>
                </c:pt>
              </c:numCache>
            </c:numRef>
          </c:val>
        </c:ser>
        <c:dLbls>
          <c:showLegendKey val="0"/>
          <c:showVal val="1"/>
          <c:showCatName val="1"/>
          <c:showSerName val="0"/>
          <c:showPercent val="0"/>
          <c:showBubbleSize val="0"/>
          <c:showLeaderLines val="1"/>
        </c:dLbls>
        <c:firstSliceAng val="180"/>
      </c:pieChart>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44940152676723732"/>
          <c:y val="0.15770008121182161"/>
          <c:w val="0.55059839596696336"/>
          <c:h val="0.79137394284047824"/>
        </c:manualLayout>
      </c:layout>
      <c:barChart>
        <c:barDir val="bar"/>
        <c:grouping val="stacked"/>
        <c:varyColors val="0"/>
        <c:ser>
          <c:idx val="0"/>
          <c:order val="0"/>
          <c:tx>
            <c:strRef>
              <c:f>Tabelle1!$D$114</c:f>
              <c:strCache>
                <c:ptCount val="1"/>
                <c:pt idx="0">
                  <c:v>oui</c:v>
                </c:pt>
              </c:strCache>
            </c:strRef>
          </c:tx>
          <c:invertIfNegative val="0"/>
          <c:dLbls>
            <c:txPr>
              <a:bodyPr/>
              <a:lstStyle/>
              <a:p>
                <a:pPr>
                  <a:defRPr sz="1200" b="1"/>
                </a:pPr>
                <a:endParaRPr lang="en-US"/>
              </a:p>
            </c:txPr>
            <c:showLegendKey val="0"/>
            <c:showVal val="1"/>
            <c:showCatName val="0"/>
            <c:showSerName val="0"/>
            <c:showPercent val="0"/>
            <c:showBubbleSize val="0"/>
            <c:showLeaderLines val="0"/>
          </c:dLbls>
          <c:cat>
            <c:strRef>
              <c:f>Tabelle1!$B$115:$C$126</c:f>
              <c:strCache>
                <c:ptCount val="12"/>
                <c:pt idx="0">
                  <c:v>Augmentation de la part de marché</c:v>
                </c:pt>
                <c:pt idx="1">
                  <c:v>Vérification de la compétitivité</c:v>
                </c:pt>
                <c:pt idx="2">
                  <c:v>Développement du réseau de distribution</c:v>
                </c:pt>
                <c:pt idx="3">
                  <c:v>Développement des contacts commerciaux</c:v>
                </c:pt>
                <c:pt idx="4">
                  <c:v>Mise à jour des connaissances du marché</c:v>
                </c:pt>
                <c:pt idx="5">
                  <c:v>Orientation sur le marché actuel</c:v>
                </c:pt>
                <c:pt idx="6">
                  <c:v>Estimer l’acceptation des produits sur le marché</c:v>
                </c:pt>
                <c:pt idx="7">
                  <c:v>Accroissement de la notoriété de l’entreprise</c:v>
                </c:pt>
                <c:pt idx="8">
                  <c:v>Maintien et entretien du réseau de distribution</c:v>
                </c:pt>
                <c:pt idx="9">
                  <c:v>Entretien des relations commerciales existantes</c:v>
                </c:pt>
                <c:pt idx="10">
                  <c:v>Lancement de produits innovants  </c:v>
                </c:pt>
                <c:pt idx="11">
                  <c:v>Accroissement de la notoriété des produits</c:v>
                </c:pt>
              </c:strCache>
            </c:strRef>
          </c:cat>
          <c:val>
            <c:numRef>
              <c:f>Tabelle1!$D$115:$D$126</c:f>
              <c:numCache>
                <c:formatCode>0%</c:formatCode>
                <c:ptCount val="12"/>
                <c:pt idx="0">
                  <c:v>0.15</c:v>
                </c:pt>
                <c:pt idx="1">
                  <c:v>0.16666666666666666</c:v>
                </c:pt>
                <c:pt idx="2">
                  <c:v>0.29411764705882354</c:v>
                </c:pt>
                <c:pt idx="3">
                  <c:v>0.37142857142857144</c:v>
                </c:pt>
                <c:pt idx="4">
                  <c:v>0.4</c:v>
                </c:pt>
                <c:pt idx="5">
                  <c:v>0.41379310344827586</c:v>
                </c:pt>
                <c:pt idx="6">
                  <c:v>0.44</c:v>
                </c:pt>
                <c:pt idx="7">
                  <c:v>0.46875</c:v>
                </c:pt>
                <c:pt idx="8">
                  <c:v>0.5</c:v>
                </c:pt>
                <c:pt idx="9">
                  <c:v>0.54166666666666663</c:v>
                </c:pt>
                <c:pt idx="10">
                  <c:v>0.54545454545454541</c:v>
                </c:pt>
                <c:pt idx="11">
                  <c:v>0.55172413793103448</c:v>
                </c:pt>
              </c:numCache>
            </c:numRef>
          </c:val>
        </c:ser>
        <c:ser>
          <c:idx val="1"/>
          <c:order val="1"/>
          <c:tx>
            <c:strRef>
              <c:f>Tabelle1!$E$114</c:f>
              <c:strCache>
                <c:ptCount val="1"/>
                <c:pt idx="0">
                  <c:v>en partie</c:v>
                </c:pt>
              </c:strCache>
            </c:strRef>
          </c:tx>
          <c:spPr>
            <a:solidFill>
              <a:srgbClr val="92D050"/>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Tabelle1!$B$115:$C$126</c:f>
              <c:strCache>
                <c:ptCount val="12"/>
                <c:pt idx="0">
                  <c:v>Augmentation de la part de marché</c:v>
                </c:pt>
                <c:pt idx="1">
                  <c:v>Vérification de la compétitivité</c:v>
                </c:pt>
                <c:pt idx="2">
                  <c:v>Développement du réseau de distribution</c:v>
                </c:pt>
                <c:pt idx="3">
                  <c:v>Développement des contacts commerciaux</c:v>
                </c:pt>
                <c:pt idx="4">
                  <c:v>Mise à jour des connaissances du marché</c:v>
                </c:pt>
                <c:pt idx="5">
                  <c:v>Orientation sur le marché actuel</c:v>
                </c:pt>
                <c:pt idx="6">
                  <c:v>Estimer l’acceptation des produits sur le marché</c:v>
                </c:pt>
                <c:pt idx="7">
                  <c:v>Accroissement de la notoriété de l’entreprise</c:v>
                </c:pt>
                <c:pt idx="8">
                  <c:v>Maintien et entretien du réseau de distribution</c:v>
                </c:pt>
                <c:pt idx="9">
                  <c:v>Entretien des relations commerciales existantes</c:v>
                </c:pt>
                <c:pt idx="10">
                  <c:v>Lancement de produits innovants  </c:v>
                </c:pt>
                <c:pt idx="11">
                  <c:v>Accroissement de la notoriété des produits</c:v>
                </c:pt>
              </c:strCache>
            </c:strRef>
          </c:cat>
          <c:val>
            <c:numRef>
              <c:f>Tabelle1!$E$115:$E$126</c:f>
              <c:numCache>
                <c:formatCode>0%</c:formatCode>
                <c:ptCount val="12"/>
                <c:pt idx="0">
                  <c:v>0.5</c:v>
                </c:pt>
                <c:pt idx="1">
                  <c:v>0.72222222222222221</c:v>
                </c:pt>
                <c:pt idx="2">
                  <c:v>0.41176470588235292</c:v>
                </c:pt>
                <c:pt idx="3">
                  <c:v>0.6</c:v>
                </c:pt>
                <c:pt idx="4">
                  <c:v>0.54285714285714282</c:v>
                </c:pt>
                <c:pt idx="5">
                  <c:v>0.55172413793103448</c:v>
                </c:pt>
                <c:pt idx="6">
                  <c:v>0.56000000000000005</c:v>
                </c:pt>
                <c:pt idx="7">
                  <c:v>0.4375</c:v>
                </c:pt>
                <c:pt idx="8">
                  <c:v>0.3125</c:v>
                </c:pt>
                <c:pt idx="9">
                  <c:v>0.45833333333333331</c:v>
                </c:pt>
                <c:pt idx="10">
                  <c:v>0.45454545454545453</c:v>
                </c:pt>
                <c:pt idx="11">
                  <c:v>0.44827586206896552</c:v>
                </c:pt>
              </c:numCache>
            </c:numRef>
          </c:val>
        </c:ser>
        <c:ser>
          <c:idx val="2"/>
          <c:order val="2"/>
          <c:tx>
            <c:strRef>
              <c:f>Tabelle1!$F$114</c:f>
              <c:strCache>
                <c:ptCount val="1"/>
                <c:pt idx="0">
                  <c:v>non</c:v>
                </c:pt>
              </c:strCache>
            </c:strRef>
          </c:tx>
          <c:spPr>
            <a:solidFill>
              <a:schemeClr val="accent5">
                <a:lumMod val="50000"/>
              </a:schemeClr>
            </a:solidFill>
          </c:spPr>
          <c:invertIfNegative val="0"/>
          <c:dLbls>
            <c:dLbl>
              <c:idx val="6"/>
              <c:delete val="1"/>
            </c:dLbl>
            <c:dLbl>
              <c:idx val="9"/>
              <c:delete val="1"/>
            </c:dLbl>
            <c:dLbl>
              <c:idx val="10"/>
              <c:delete val="1"/>
            </c:dLbl>
            <c:dLbl>
              <c:idx val="11"/>
              <c:delete val="1"/>
            </c:dLbl>
            <c:txPr>
              <a:bodyPr/>
              <a:lstStyle/>
              <a:p>
                <a:pPr>
                  <a:defRPr sz="1200" b="1"/>
                </a:pPr>
                <a:endParaRPr lang="en-US"/>
              </a:p>
            </c:txPr>
            <c:showLegendKey val="0"/>
            <c:showVal val="1"/>
            <c:showCatName val="0"/>
            <c:showSerName val="0"/>
            <c:showPercent val="0"/>
            <c:showBubbleSize val="0"/>
            <c:showLeaderLines val="0"/>
          </c:dLbls>
          <c:cat>
            <c:strRef>
              <c:f>Tabelle1!$B$115:$C$126</c:f>
              <c:strCache>
                <c:ptCount val="12"/>
                <c:pt idx="0">
                  <c:v>Augmentation de la part de marché</c:v>
                </c:pt>
                <c:pt idx="1">
                  <c:v>Vérification de la compétitivité</c:v>
                </c:pt>
                <c:pt idx="2">
                  <c:v>Développement du réseau de distribution</c:v>
                </c:pt>
                <c:pt idx="3">
                  <c:v>Développement des contacts commerciaux</c:v>
                </c:pt>
                <c:pt idx="4">
                  <c:v>Mise à jour des connaissances du marché</c:v>
                </c:pt>
                <c:pt idx="5">
                  <c:v>Orientation sur le marché actuel</c:v>
                </c:pt>
                <c:pt idx="6">
                  <c:v>Estimer l’acceptation des produits sur le marché</c:v>
                </c:pt>
                <c:pt idx="7">
                  <c:v>Accroissement de la notoriété de l’entreprise</c:v>
                </c:pt>
                <c:pt idx="8">
                  <c:v>Maintien et entretien du réseau de distribution</c:v>
                </c:pt>
                <c:pt idx="9">
                  <c:v>Entretien des relations commerciales existantes</c:v>
                </c:pt>
                <c:pt idx="10">
                  <c:v>Lancement de produits innovants  </c:v>
                </c:pt>
                <c:pt idx="11">
                  <c:v>Accroissement de la notoriété des produits</c:v>
                </c:pt>
              </c:strCache>
            </c:strRef>
          </c:cat>
          <c:val>
            <c:numRef>
              <c:f>Tabelle1!$F$115:$F$126</c:f>
              <c:numCache>
                <c:formatCode>0%</c:formatCode>
                <c:ptCount val="12"/>
                <c:pt idx="0">
                  <c:v>0.35</c:v>
                </c:pt>
                <c:pt idx="1">
                  <c:v>0.1111111111111111</c:v>
                </c:pt>
                <c:pt idx="2">
                  <c:v>0.29411764705882354</c:v>
                </c:pt>
                <c:pt idx="3">
                  <c:v>2.8571428571428571E-2</c:v>
                </c:pt>
                <c:pt idx="4">
                  <c:v>5.7142857142857141E-2</c:v>
                </c:pt>
                <c:pt idx="5">
                  <c:v>3.4482758620689655E-2</c:v>
                </c:pt>
                <c:pt idx="6">
                  <c:v>0</c:v>
                </c:pt>
                <c:pt idx="7">
                  <c:v>9.375E-2</c:v>
                </c:pt>
                <c:pt idx="8">
                  <c:v>0.1875</c:v>
                </c:pt>
                <c:pt idx="9">
                  <c:v>0</c:v>
                </c:pt>
                <c:pt idx="10">
                  <c:v>0</c:v>
                </c:pt>
                <c:pt idx="11">
                  <c:v>0</c:v>
                </c:pt>
              </c:numCache>
            </c:numRef>
          </c:val>
        </c:ser>
        <c:dLbls>
          <c:showLegendKey val="0"/>
          <c:showVal val="1"/>
          <c:showCatName val="0"/>
          <c:showSerName val="0"/>
          <c:showPercent val="0"/>
          <c:showBubbleSize val="0"/>
        </c:dLbls>
        <c:gapWidth val="95"/>
        <c:overlap val="100"/>
        <c:axId val="74111232"/>
        <c:axId val="67768320"/>
      </c:barChart>
      <c:catAx>
        <c:axId val="74111232"/>
        <c:scaling>
          <c:orientation val="minMax"/>
        </c:scaling>
        <c:delete val="0"/>
        <c:axPos val="l"/>
        <c:majorTickMark val="none"/>
        <c:minorTickMark val="none"/>
        <c:tickLblPos val="nextTo"/>
        <c:txPr>
          <a:bodyPr/>
          <a:lstStyle/>
          <a:p>
            <a:pPr>
              <a:defRPr sz="900"/>
            </a:pPr>
            <a:endParaRPr lang="en-US"/>
          </a:p>
        </c:txPr>
        <c:crossAx val="67768320"/>
        <c:crosses val="autoZero"/>
        <c:auto val="1"/>
        <c:lblAlgn val="ctr"/>
        <c:lblOffset val="100"/>
        <c:noMultiLvlLbl val="0"/>
      </c:catAx>
      <c:valAx>
        <c:axId val="67768320"/>
        <c:scaling>
          <c:orientation val="minMax"/>
        </c:scaling>
        <c:delete val="1"/>
        <c:axPos val="b"/>
        <c:numFmt formatCode="0%" sourceLinked="1"/>
        <c:majorTickMark val="out"/>
        <c:minorTickMark val="none"/>
        <c:tickLblPos val="nextTo"/>
        <c:crossAx val="74111232"/>
        <c:crosses val="autoZero"/>
        <c:crossBetween val="between"/>
      </c:valAx>
    </c:plotArea>
    <c:legend>
      <c:legendPos val="t"/>
      <c:layout>
        <c:manualLayout>
          <c:xMode val="edge"/>
          <c:yMode val="edge"/>
          <c:x val="0.37015829927360844"/>
          <c:y val="3.2286995515695069E-2"/>
          <c:w val="0.25968340145278318"/>
          <c:h val="6.1204436935448428E-2"/>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D178-1F69-40CB-89F9-D7BAEFA3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4541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Rzepka</dc:creator>
  <cp:lastModifiedBy>Dominik Rzepka</cp:lastModifiedBy>
  <cp:revision>2</cp:revision>
  <cp:lastPrinted>2013-01-17T14:55:00Z</cp:lastPrinted>
  <dcterms:created xsi:type="dcterms:W3CDTF">2013-01-17T15:23:00Z</dcterms:created>
  <dcterms:modified xsi:type="dcterms:W3CDTF">2013-01-17T15:23:00Z</dcterms:modified>
</cp:coreProperties>
</file>